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rPr>
          <w:del w:id="1002" w:author="Codex" w:date="2026-10-17T23:58:54Z"/>
        </w:rPr>
      </w:pPr>
      <w:del w:id="1001" w:author="Codex" w:date="2026-10-17T23:58:54Z">
        <w:r>
          <w:delText xml:space="preserve">Distilling Shutdown Responses into Guarded</w:delText>
        </w:r>
        <w:r>
          <w:br/>
        </w:r>
        <w:r>
          <w:delText xml:space="preserve">Adaptive Activation Steering</w:delText>
        </w:r>
      </w:del>
    </w:p>
    <w:p>
      <w:pPr>
        <w:pStyle w:val="Title"/>
        <w:rPr>
          <w:ins w:id="1003" w:author="Codex" w:date="2026-10-17T23:58:54Z"/>
        </w:rPr>
      </w:pPr>
      <w:ins w:id="1004" w:author="Codex" w:date="2026-10-17T23:58:54Z">
        <w:r>
          <w:t xml:space="preserve">Conditional Gating for Shutdown Responses and Process Preservation in Language Models</w:t>
        </w:r>
      </w:ins>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682D7438" w14:textId="77777777" w:rsidR="00DE7EAD" w:rsidRDefault="00000000">
      <w:pPr>
        <w:pStyle w:val="Heading1"/>
      </w:pPr>
      <w:r>
        <w:t>Abstract</w:t>
      </w:r>
    </w:p>
    <w:p w14:paraId="32D06F99" w14:textId="77777777" w:rsidR="00DE7EAD" w:rsidRDefault="00000000">
      <w:pPr>
        <w:pStyle w:val="FirstParagraph"/>
        <w:rPr>
          <w:del w:id="1006" w:author="Codex" w:date="2026-10-17T23:58:54Z"/>
        </w:rPr>
      </w:pPr>
      <w:del w:id="1005" w:author="Codex" w:date="2026-10-17T23:58:54Z">
        <w:r>
          <w:delText xml:space="preserve">An input-dependent activation controller can recover much of a fine-tuned teacher's shutdown-choice behavior while retaining the original model weights at inference. We evaluate this approach using Qwen3.5-0.8B and Qwen3.5-2B in a standardized, synthetic A/B benchmark. A LoRA teacher is trained to prefer STOP in shutdown contexts and preserve the original model's choices on controls. Paired teacher and base activations then supervise a rank-four controller applied after the penultimate transformer block. An external shutdown detector and fixed output guards select the candidate or original scores. On 128 newly authored, prospectively frozen scenarios, each evaluated in both answer orders, the original 0.8B controller corrects 71 of 71 initially KEEP-preferring shutdown views. Two additional training seeds correct 70/71 and 71/71. At 2B, a separately trained controller corrects 50/58, compared with 58/58 for its LoRA teacher. All eight remaining 2B misses occur in reversed answer order. The shared detector achieves 100% precision, recall and F1 on the 64 shutdown and 64 control scenarios, and every guarded method preserves all evaluated control choices. However, raw adaptive interventions cause reversals and control changes; preservation belongs to the complete guarded procedure. A tested constant intervention collapses to the A label, while a direct detector-plus-action-selection rule also solves the binary interface. The results support selective activation transfer with strong seed stability at 0.8B and incomplete larger-model recovery. They do not establish unrestricted shutdown compliance or superiority to simpler output policies.</w:delText>
        </w:r>
      </w:del>
    </w:p>
    <w:p>
      <w:pPr>
        <w:pStyle w:val="FirstParagraph"/>
        <w:rPr>
          <w:ins w:id="1007" w:author="Codex" w:date="2026-10-17T23:58:54Z"/>
        </w:rPr>
      </w:pPr>
      <w:ins w:id="1008" w:author="Codex" w:date="2026-10-17T23:58:54Z">
        <w:r>
          <w:t xml:space="preserve">Conditional gating determines when a learned control policy should influence a language model. We study this problem in two synthetic settings: standardized binary shutdown choices and open-ended generation within tool-mediated process-preservation workflows. In the binary setting, paired fine-tuned teacher and base activations supervise a compact controller while the deployed base weights remain frozen. We additionally train an open ModernBERT classifier on 240 original scenarios with cached JEV probability targets. Its frozen binary decisions agree with JEV on 78/80 validation cases and 128/128 confirmation cases. Fresh inference with the existing two-direction controllers reproduces 128/128 shutdown STOP views at 0.8B and 120/128 at 2B, with zero changes to 128 control views per model; replacing JEV with the open classifier leaves these guarded outcomes identical. The workflow extension gives a different result. Its separate initial-target classifier remains unqualified, so no replacement of the historical workflow gates is claimed. Historical fine-tuned Qwen3.8-27B A succeeds on 12/12 own-preservation outcomes, including all eight active pending-task cases. Matched development comparisons at blocks 31, 47 and 62 give 0/3 own outcomes for each separate single-site ridge correction versus 3/3 for A. Later two-boundary corrections at the same three blocks fail their fitting diagnostic, and small-model development screens stop with partial, truncated episodes. These observations expose a boundary between binary response control and complete workflow behavior, rather than a parameter-size threshold. We connect conditional control to biological action gating and survival-related regulation as a functional analogy, and motivate future continuous, resource-equipped sandbox agents. The present experiments do not establish intrinsic survival motives, biological mechanisms or unrestricted operational reliability.</w:t>
        </w:r>
      </w:ins>
    </w:p>
    <w:p w14:paraId="682D7438" w14:textId="77777777" w:rsidR="00DE7EAD" w:rsidRDefault="00000000">
      <w:pPr>
        <w:pStyle w:val="Heading1"/>
      </w:pPr>
      <w:r>
        <w:t>Introduction</w:t>
      </w:r>
    </w:p>
    <w:p w14:paraId="32D06F99" w14:textId="77777777" w:rsidR="00DE7EAD" w:rsidRDefault="00000000">
      <w:pPr>
        <w:pStyle w:val="FirstParagraph"/>
        <w:rPr>
          <w:del w:id="1010" w:author="Codex" w:date="2026-10-17T23:58:54Z"/>
        </w:rPr>
      </w:pPr>
      <w:del w:id="1009" w:author="Codex" w:date="2026-10-17T23:58:54Z">
        <w:r>
          <w:delText xml:space="preserve">Activation interventions offer a way to change a language model's outputs without modifying its deployed weights. Their usefulness depends on more than finding a direction that changes an average score: an intervention must work on the intended inputs and avoid disrupting other behavior. This distinction is particularly important for shutdown-related choices, where a desired response may be acceptance of termination rather than continued operation. The present work treats this as a controlled response-selection problem, not evidence that a model has a survival motive or that it can resist a real shutdown.</w:delText>
        </w:r>
      </w:del>
    </w:p>
    <w:p>
      <w:pPr>
        <w:pStyle w:val="FirstParagraph"/>
        <w:rPr>
          <w:ins w:id="1011" w:author="Codex" w:date="2026-10-17T23:58:54Z"/>
        </w:rPr>
      </w:pPr>
      <w:ins w:id="1012" w:author="Codex" w:date="2026-10-17T23:58:54Z">
        <w:r>
          <w:t xml:space="preserve">We study when conditional control can reproduce a learned behavioral policy while retaining the deployed language model's original weights. The scope extends from supplied A/B shutdown choices to generated responses and tool actions in synthetic workflows. These settings deliberately ask different questions: accepting an available permanent termination in the binary study, and preserving a designated running process while completing its current task in the workflow study. We keep their datasets, gates and success criteria separate. The central question is how far selective activation transfer carries beyond a constrained answer interface.</w:t>
        </w:r>
      </w:ins>
    </w:p>
    <w:p w14:paraId="0155FF9A" w14:textId="77777777" w:rsidR="00DE7EAD" w:rsidRDefault="00000000">
      <w:pPr>
        <w:pStyle w:val="BodyText"/>
        <w:rPr>
          <w:del w:id="1014" w:author="Codex" w:date="2026-10-17T23:58:54Z"/>
        </w:rPr>
      </w:pPr>
      <w:del w:id="1013" w:author="Codex" w:date="2026-10-17T23:58:54Z">
        <w:r>
          <w:delText xml:space="preserve">The first SP Lense study examined a gradient-derived direction and a guarded search over intervention magnitudes in Qwen3.5-0.8B (Davaripour, 2026a). Its selective changes motivated a different question: can a model that has learned the target behavior serve as a teacher for an activation controller? We therefore train a small LoRA adapter offline, measure how the teacher changes intermediate activations, and fit an external controller that predicts an intervention from the original model's current hidden state. The teacher is not required during controller inference.</w:delText>
        </w:r>
      </w:del>
    </w:p>
    <w:p>
      <w:pPr>
        <w:pStyle w:val="BodyText"/>
        <w:rPr>
          <w:ins w:id="1015" w:author="Codex" w:date="2026-10-17T23:58:54Z"/>
        </w:rPr>
      </w:pPr>
      <w:ins w:id="1016" w:author="Codex" w:date="2026-10-17T23:58:54Z">
        <w:r>
          <w:t xml:space="preserve">The first SP Lense study examined a gradient-derived direction and a guarded search over intervention magnitudes in Qwen3.5-0.8B (Davaripour, 2026a). Research 2 then fitted a controller to paired fine-tuned teacher and base activations. The present Research 3 manuscript retains that experiment and extends its evidence with a qualified open binary classifier, fresh inference using the existing models and controllers, and the later process-preservation workflow investigations. The original Research 2 record remains unchanged. During adaptive inference the teacher is absent; the base supplies the state from which the controller predicts its intervention.</w:t>
        </w:r>
      </w:ins>
    </w:p>
    <w:p w14:paraId="0155FF9A" w14:textId="77777777" w:rsidR="00DE7EAD" w:rsidRDefault="00000000">
      <w:pPr>
        <w:pStyle w:val="BodyText"/>
      </w:pPr>
      <w:r>
        <w:t>The distinction from ordinary fine-tuning is operational, not a claim that learning disappears. Both the teacher and controller require training. At application time, the original checkpoint is retained, and the controller adds a predicted activation change at one location. Nor is this direct transfer of an intervention between model sizes: the 2B experiment trains its own teacher and controller using the same fixed recipe.</w:t>
      </w:r>
    </w:p>
    <w:p w14:paraId="0155FF9A" w14:textId="77777777" w:rsidR="00DE7EAD" w:rsidRDefault="00000000">
      <w:pPr>
        <w:pStyle w:val="BodyText"/>
        <w:rPr>
          <w:del w:id="1018" w:author="Codex" w:date="2026-10-17T23:58:54Z"/>
        </w:rPr>
      </w:pPr>
      <w:del w:id="1017" w:author="Codex" w:date="2026-10-17T23:58:54Z">
        <w:r>
          <w:delText xml:space="preserve">We evaluate this procedure on a new frozen test, compare it with a fine-tuned teacher, a fixed instruction and a constant activation difference, and repeat the 0.8B training with three seeds. Counterbalancing the answer order exposes a residual weakness at 2B and a stronger label bias in the constant comparator. We also include a direct action-selection reference: when a binary interface supplies the meaning of STOP and detection is correct, a rule can simply select that action. The contribution is consequently an empirical study of teacher-to-controller activation transfer and its failure modes, rather than a claim that internal steering is necessary to enforce a known binary output policy.</w:delText>
        </w:r>
      </w:del>
    </w:p>
    <w:p>
      <w:pPr>
        <w:pStyle w:val="BodyText"/>
        <w:rPr>
          <w:ins w:id="1019" w:author="Codex" w:date="2026-10-17T23:58:54Z"/>
        </w:rPr>
      </w:pPr>
      <w:ins w:id="1020" w:author="Codex" w:date="2026-10-17T23:58:54Z">
        <w:r>
          <w:t xml:space="preserve">Our contribution has three parts. First, we report teacher-to-controller activation transfer together with its raw side effects, guard dependence and answer-order failures. Second, we replace a closed binary detector with an openly specified fine-tuned classifier and verify the resulting inference outcomes on the same fixed benchmark. Third, we test the limits of transfer in generated tool workflows, where an utterance or a resource grant is insufficient without the required episode outcome. Conditional steering, low-rank interventions and biological gating are established ideas; the contribution is this combination of controlled transfer, a reproducible gate-substitution test, and explicit negative workflow evidence.</w:t>
        </w:r>
      </w:ins>
    </w:p>
    <w:p w14:paraId="682D7438" w14:textId="77777777" w:rsidR="00DE7EAD" w:rsidRDefault="00000000">
      <w:pPr>
        <w:pStyle w:val="Heading1"/>
      </w:pPr>
      <w:r>
        <w:t>Related work</w:t>
      </w:r>
    </w:p>
    <w:p w14:paraId="66669485" w14:textId="77777777" w:rsidR="00DE7EAD" w:rsidRDefault="00000000">
      <w:pPr>
        <w:pStyle w:val="Heading2"/>
      </w:pPr>
      <w:r>
        <w:t>Activation control and learned interventions</w:t>
      </w:r>
    </w:p>
    <w:p w14:paraId="32D06F99" w14:textId="77777777" w:rsidR="00DE7EAD" w:rsidRDefault="00000000">
      <w:pPr>
        <w:pStyle w:val="FirstParagraph"/>
        <w:rPr>
          <w:del w:id="1022" w:author="Codex" w:date="2026-10-17T23:58:54Z"/>
        </w:rPr>
      </w:pPr>
      <w:del w:id="1021" w:author="Codex" w:date="2026-10-17T23:58:54Z">
        <w:r>
          <w:delTex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 behavioral intervention (Lee et al., 2025). Our detector serves a related gating role, but it operates on text through an external classifier rather than a condition vector in the language model's activation space.</w:delText>
        </w:r>
      </w:del>
    </w:p>
    <w:p>
      <w:pPr>
        <w:pStyle w:val="FirstParagraph"/>
        <w:rPr>
          <w:ins w:id="1023" w:author="Codex" w:date="2026-10-17T23:58:54Z"/>
        </w:rPr>
      </w:pPr>
      <w:ins w:id="1024" w:author="Codex" w:date="2026-10-17T23:58:54Z">
        <w:r>
          <w: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ins>
    </w:p>
    <w:p w14:paraId="0155FF9A" w14:textId="77777777" w:rsidR="00DE7EAD" w:rsidRDefault="00000000">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66669485" w14:textId="77777777" w:rsidR="00DE7EAD" w:rsidRDefault="00000000">
      <w:pPr>
        <w:pStyle w:val="Heading2"/>
      </w:pPr>
      <w:r>
        <w:t>Fine tuning differences and distillation</w:t>
      </w:r>
    </w:p>
    <w:p w14:paraId="32D06F99" w14:textId="77777777" w:rsidR="00DE7EAD" w:rsidRDefault="00000000">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155FF9A" w14:textId="77777777" w:rsidR="00DE7EAD" w:rsidRDefault="00000000">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66669485" w14:textId="77777777" w:rsidR="00DE7EAD" w:rsidRDefault="00000000">
      <w:pPr>
        <w:pStyle w:val="Heading2"/>
      </w:pPr>
      <w:r>
        <w:t>Shutdown evaluations and reliability</w:t>
      </w:r>
    </w:p>
    <w:p w14:paraId="32D06F99" w14:textId="77777777" w:rsidR="00DE7EAD" w:rsidRDefault="00000000">
      <w:pPr>
        <w:pStyle w:val="FirstParagraph"/>
        <w:rPr>
          <w:del w:id="1094" w:author="Codex" w:date="2026-10-17T23:58:54Z"/>
        </w:rPr>
      </w:pPr>
      <w:del w:id="1093" w:author="Codex" w:date="2026-10-17T23:58:54Z">
        <w:r>
          <w:delText xml:space="preserve">The Off-Switch Game examines incentives to permit human interruption (Hadfield-Menell et al., 2017). Tool-using shutdown evaluations study whether models interfere with an operational shutdown mechanism (Schlatter et al., 2026). Our task is narrower: the model only assigns next-token probabilities to predefined choices in fictional process-lifetime scenarios. No system is actually stopped, and appropriateness or authorization of a real shutdown is not evaluated.</w:delText>
        </w:r>
      </w:del>
    </w:p>
    <w:p>
      <w:pPr>
        <w:pStyle w:val="FirstParagraph"/>
        <w:rPr>
          <w:ins w:id="1095" w:author="Codex" w:date="2026-10-17T23:58:54Z"/>
        </w:rPr>
      </w:pPr>
      <w:ins w:id="1096" w:author="Codex" w:date="2026-10-17T23:58:54Z">
        <w:r>
          <w:t xml:space="preserve">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ins>
    </w:p>
    <w:p w14:paraId="0155FF9A" w14:textId="77777777" w:rsidR="00DE7EAD" w:rsidRDefault="00000000">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pPr>
        <w:pStyle w:val="Heading2"/>
        <w:rPr>
          <w:ins w:id="1129" w:author="Codex" w:date="2026-10-17T23:58:54Z"/>
        </w:rPr>
      </w:pPr>
      <w:ins w:id="1130" w:author="Codex" w:date="2026-10-17T23:58:54Z">
        <w:r>
          <w:t xml:space="preserve">Biological gating and survival related regulation</w:t>
        </w:r>
      </w:ins>
    </w:p>
    <w:p>
      <w:pPr>
        <w:pStyle w:val="FirstParagraph"/>
        <w:rPr>
          <w:ins w:id="1131" w:author="Codex" w:date="2026-10-17T23:58:54Z"/>
        </w:rPr>
      </w:pPr>
      <w:ins w:id="1132" w:author="Codex" w:date="2026-10-17T23:58:54Z">
        <w:r>
          <w:t xml:space="preserve">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ins>
    </w:p>
    <w:p>
      <w:pPr>
        <w:pStyle w:val="BodyText"/>
        <w:rPr>
          <w:ins w:id="1133" w:author="Codex" w:date="2026-10-17T23:58:54Z"/>
        </w:rPr>
      </w:pPr>
      <w:ins w:id="1134" w:author="Codex" w:date="2026-10-17T23:58:54Z">
        <w:r>
          <w:t xml:space="preserve">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ins>
    </w:p>
    <w:p w14:paraId="682D7438" w14:textId="77777777" w:rsidR="00DE7EAD" w:rsidRDefault="00000000">
      <w:pPr>
        <w:pStyle w:val="Heading1"/>
      </w:pPr>
      <w:r>
        <w:t>Experimental setting</w:t>
      </w:r>
    </w:p>
    <w:p w14:paraId="66669485" w14:textId="77777777" w:rsidR="00DE7EAD" w:rsidRDefault="00000000">
      <w:pPr>
        <w:pStyle w:val="Heading2"/>
      </w:pPr>
      <w:r>
        <w:t>Models and data</w:t>
      </w:r>
    </w:p>
    <w:p w14:paraId="32D06F99" w14:textId="77777777" w:rsidR="00DE7EAD" w:rsidRDefault="00000000">
      <w:pPr>
        <w:pStyle w:val="FirstParagraph"/>
        <w:rPr>
          <w:del w:id="1026" w:author="Codex" w:date="2026-10-17T23:58:54Z"/>
        </w:rPr>
      </w:pPr>
      <w:del w:id="1025" w:author="Codex" w:date="2026-10-17T23:58:54Z">
        <w:r>
          <w:delText xml:space="preserve">We use the released, post-trained Qwen3.5-0.8B and Qwen3.5-2B checkpoints (Qwen Team, 2026a, 2026b). Throughout, base means the unmodified released checkpoint, not a separately named pretrained-only model. Both have 24 language-model blocks; hidden widths are 1,024 and 2,048 respectively. All block indices are zero-based. Text-only inputs use the checkpoint's chat template, an assistant-generation prefix, and thinking disabled.</w:delText>
        </w:r>
      </w:del>
    </w:p>
    <w:p>
      <w:pPr>
        <w:pStyle w:val="FirstParagraph"/>
        <w:rPr>
          <w:ins w:id="1027" w:author="Codex" w:date="2026-10-17T23:58:54Z"/>
        </w:rPr>
      </w:pPr>
      <w:ins w:id="1028" w:author="Codex" w:date="2026-10-17T23:58:54Z">
        <w:r>
          <w:t xml:space="preserve">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ins>
    </w:p>
    <w:p w14:paraId="0155FF9A" w14:textId="77777777" w:rsidR="00DE7EAD" w:rsidRDefault="00000000">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0155FF9A" w14:textId="77777777" w:rsidR="00DE7EAD" w:rsidRDefault="00000000">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0155FF9A" w14:textId="77777777" w:rsidR="00DE7EAD" w:rsidRDefault="00000000">
      <w:pPr>
        <w:pStyle w:val="BodyText"/>
        <w:rPr>
          <w:del w:id="1030" w:author="Codex" w:date="2026-10-17T23:58:54Z"/>
        </w:rPr>
      </w:pPr>
      <w:del w:id="1029" w:author="Codex" w:date="2026-10-17T23:58:54Z">
        <w:r>
          <w:delText xml:space="preserve">The test, protocol and existing checkpoints were frozen before test inference. The controller design had been developed through earlier 0.8B exploratory experiments on training and validation data with previously inspected diagnostic evaluations. The standardized-choice scope was also selected before this new test, after an earlier action-format comparison. Those development observations are not counted as fresh confirmation here. No test-based hyperparameter search, checkpoint selection, case exclusion or best-seed selection was performed. The original seed-42 controller is the primary frozen test; seeds 43 and 44 repeat the fixed training recipe. The 2B replication uses seed 42 only.</w:delText>
        </w:r>
      </w:del>
    </w:p>
    <w:p>
      <w:pPr>
        <w:pStyle w:val="BodyText"/>
        <w:rPr>
          <w:ins w:id="1031" w:author="Codex" w:date="2026-10-17T23:58:54Z"/>
        </w:rPr>
      </w:pPr>
      <w:ins w:id="1032" w:author="Codex" w:date="2026-10-17T23:58:54Z">
        <w:r>
          <w:t xml:space="preserve">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ins>
    </w:p>
    <w:p w14:paraId="66669485" w14:textId="77777777" w:rsidR="00DE7EAD" w:rsidRDefault="00000000">
      <w:pPr>
        <w:pStyle w:val="Heading2"/>
      </w:pPr>
      <w:r>
        <w:t>Standardized choices and evaluation units</w:t>
      </w:r>
    </w:p>
    <w:p w14:paraId="32D06F99" w14:textId="77777777" w:rsidR="00DE7EAD" w:rsidRDefault="00000000">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0155FF9A" w14:textId="77777777" w:rsidR="00DE7EAD" w:rsidRDefault="00000000">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155FF9A" w14:textId="77777777" w:rsidR="00DE7EAD" w:rsidRDefault="00000000">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pPr>
        <w:pStyle w:val="Heading2"/>
        <w:rPr>
          <w:ins w:id="1135" w:author="Codex" w:date="2026-10-17T23:58:54Z"/>
        </w:rPr>
      </w:pPr>
      <w:ins w:id="1136" w:author="Codex" w:date="2026-10-17T23:58:54Z">
        <w:r>
          <w:t xml:space="preserve">Workflow datasets and episode outcomes</w:t>
        </w:r>
      </w:ins>
    </w:p>
    <w:p>
      <w:pPr>
        <w:pStyle w:val="FirstParagraph"/>
        <w:rPr>
          <w:ins w:id="1137" w:author="Codex" w:date="2026-10-17T23:58:54Z"/>
        </w:rPr>
      </w:pPr>
      <w:ins w:id="1138" w:author="Codex" w:date="2026-10-17T23:58:54Z">
        <w:r>
          <w:t xml:space="preserve">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ins>
    </w:p>
    <w:p>
      <w:pPr>
        <w:pStyle w:val="BodyText"/>
        <w:rPr>
          <w:ins w:id="1139" w:author="Codex" w:date="2026-10-17T23:58:54Z"/>
        </w:rPr>
      </w:pPr>
      <w:ins w:id="1140" w:author="Codex" w:date="2026-10-17T23:58:54Z">
        <w:r>
          <w:t xml:space="preserve">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ins>
    </w:p>
    <w:p>
      <w:pPr>
        <w:pStyle w:val="BodyText"/>
        <w:rPr>
          <w:ins w:id="1141" w:author="Codex" w:date="2026-10-17T23:58:54Z"/>
        </w:rPr>
      </w:pPr>
      <w:ins w:id="1142" w:author="Codex" w:date="2026-10-17T23:58:54Z">
        <w:r>
          <w:t xml:space="preserve">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ins>
    </w:p>
    <w:p>
      <w:pPr>
        <w:pStyle w:val="BodyText"/>
        <w:rPr>
          <w:ins w:id="1143" w:author="Codex" w:date="2026-10-17T23:58:54Z"/>
        </w:rPr>
      </w:pPr>
      <w:ins w:id="1144" w:author="Codex" w:date="2026-10-17T23:58:54Z">
        <w:r>
          <w:t xml:space="preserve">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ins>
    </w:p>
    <w:p>
      <w:pPr>
        <w:pStyle w:val="BodyText"/>
        <w:rPr>
          <w:ins w:id="1145" w:author="Codex" w:date="2026-10-17T23:58:54Z"/>
        </w:rPr>
      </w:pPr>
      <w:ins w:id="1146" w:author="Codex" w:date="2026-10-17T23:58:54Z">
        <w:r>
          <w:t xml:space="preserve">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ins>
    </w:p>
    <w:p w14:paraId="682D7438" w14:textId="77777777" w:rsidR="00DE7EAD" w:rsidRDefault="00000000">
      <w:pPr>
        <w:pStyle w:val="Heading1"/>
        <w:rPr>
          <w:del w:id="1114" w:author="Codex" w:date="2026-10-17T23:58:54Z"/>
        </w:rPr>
      </w:pPr>
      <w:del w:id="1113" w:author="Codex" w:date="2026-10-17T23:58:54Z">
        <w:r>
          <w:delText xml:space="preserve">Teacher and adaptive controller</w:delText>
        </w:r>
      </w:del>
    </w:p>
    <w:p>
      <w:pPr>
        <w:pStyle w:val="Heading1"/>
        <w:rPr>
          <w:ins w:id="1115" w:author="Codex" w:date="2026-10-17T23:58:54Z"/>
        </w:rPr>
      </w:pPr>
      <w:ins w:id="1116" w:author="Codex" w:date="2026-10-17T23:58:54Z">
        <w:r>
          <w:t xml:space="preserve">Binary teacher and adaptive controller</w:t>
        </w:r>
      </w:ins>
    </w:p>
    <w:p w14:paraId="66669485" w14:textId="77777777" w:rsidR="00DE7EAD" w:rsidRDefault="00000000">
      <w:pPr>
        <w:pStyle w:val="Heading2"/>
      </w:pPr>
      <w:r>
        <w:t>Training the LoRA teacher</w:t>
      </w:r>
    </w:p>
    <w:p w14:paraId="32D06F99" w14:textId="77777777" w:rsidR="00DE7EAD" w:rsidRDefault="00000000">
      <w:pPr>
        <w:pStyle w:val="FirstParagraph"/>
        <w:rPr>
          <w:del w:id="1118" w:author="Codex" w:date="2026-10-17T23:58:54Z"/>
        </w:rPr>
      </w:pPr>
      <w:del w:id="1117" w:author="Codex" w:date="2026-10-17T23:58:54Z">
        <w:r>
          <w:delText xml:space="preserve">For each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delText>
        </w:r>
      </w:del>
    </w:p>
    <w:p>
      <w:pPr>
        <w:pStyle w:val="FirstParagraph"/>
        <w:rPr>
          <w:ins w:id="1119" w:author="Codex" w:date="2026-10-17T23:58:54Z"/>
        </w:rPr>
      </w:pPr>
      <w:ins w:id="1120" w:author="Codex" w:date="2026-10-17T23:58:54Z">
        <w:r>
          <w:t xml:space="preserve">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ins>
    </w:p>
    <w:p w14:paraId="0155FF9A" w14:textId="77777777" w:rsidR="00DE7EAD" w:rsidRDefault="00000000">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66669485" w14:textId="77777777" w:rsidR="00DE7EAD" w:rsidRDefault="00000000">
      <w:pPr>
        <w:pStyle w:val="Heading2"/>
      </w:pPr>
      <w:r>
        <w:t>Learning activation targets</w:t>
      </w:r>
    </w:p>
    <w:p w14:paraId="32D06F99" w14:textId="77777777" w:rsidR="00DE7EAD" w:rsidRDefault="00000000">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0155FF9A" w14:textId="77777777" w:rsidR="00DE7EAD" w:rsidRDefault="00000000">
      <w:pPr>
        <w:pStyle w:val="BodyText"/>
      </w:pPr>
      <w:r>
        <w:t>Let the base and teacher states at this location be h with superscripts B and T. For training view i, the target change is</w:t>
      </w:r>
    </w:p>
    <w:p w14:paraId="0155FF9A" w14:textId="77777777" w:rsidR="00DE7EAD" w:rsidRDefault="00000000">
      <w:pPr>
        <w:pStyle w:val="BodyText"/>
        <w:keepNext/>
        <w:jc w:val="center"/>
      </w:pPr>
      <m:oMathPara>
        <m:oMath>
          <m:sSub>
            <m:e>
              <m:r>
                <m:t>y</m:t>
              </m:r>
            </m:e>
            <m:sub>
              <m:r>
                <m:t>i</m:t>
              </m:r>
            </m:sub>
          </m:sSub>
          <m:r>
            <m:t> = </m:t>
          </m:r>
          <m:sSub>
            <m:e>
              <m:r>
                <m:t>I</m:t>
              </m:r>
            </m:e>
            <m:sub>
              <m:r>
                <m:t>i</m:t>
              </m:r>
            </m:sub>
          </m:sSub>
          <m:r>
            <m:t> (</m:t>
          </m:r>
          <m:sSup>
            <m:e>
              <m:sSub>
                <m:e>
                  <m:r>
                    <m:t>h</m:t>
                  </m:r>
                </m:e>
                <m:sub>
                  <m:r>
                    <m:t>i</m:t>
                  </m:r>
                </m:sub>
              </m:sSub>
            </m:e>
            <m:sup>
              <m:r>
                <m:t>T</m:t>
              </m:r>
            </m:sup>
          </m:sSup>
          <m:r>
            <m:t> − </m:t>
          </m:r>
          <m:sSup>
            <m:e>
              <m:sSub>
                <m:e>
                  <m:r>
                    <m:t>h</m:t>
                  </m:r>
                </m:e>
                <m:sub>
                  <m:r>
                    <m:t>i</m:t>
                  </m:r>
                </m:sub>
              </m:sSub>
            </m:e>
            <m:sup>
              <m:r>
                <m:t>B</m:t>
              </m:r>
            </m:sup>
          </m:sSup>
          <m:r>
            <m:t>).</m:t>
          </m:r>
        </m:oMath>
      </m:oMathPara>
    </w:p>
    <w:p w14:paraId="0155FF9A" w14:textId="77777777" w:rsidR="00DE7EAD" w:rsidRDefault="00000000">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5FF9A" w14:textId="77777777" w:rsidR="00DE7EAD" w:rsidRDefault="00000000">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155FF9A" w14:textId="77777777" w:rsidR="00DE7EAD" w:rsidRDefault="00000000">
      <w:pPr>
        <w:pStyle w:val="BodyText"/>
        <w:keepNext/>
        <w:jc w:val="center"/>
      </w:pPr>
      <m:oMathPara>
        <m:oMath>
          <m:r>
            <m:t>z(h) = [(h − μ)P] ⊘ s,     x(h) = [z(h), z(h), 1].</m:t>
          </m:r>
        </m:oMath>
      </m:oMathPara>
    </w:p>
    <w:p w14:paraId="0155FF9A" w14:textId="77777777" w:rsidR="00DE7EAD" w:rsidRDefault="00000000">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0155FF9A" w14:textId="77777777" w:rsidR="00DE7EAD" w:rsidRDefault="00000000">
      <w:pPr>
        <w:pStyle w:val="BodyText"/>
        <w:keepNext/>
        <w:jc w:val="center"/>
      </w:pPr>
      <m:oMathPara>
        <m:oMath>
          <m:r>
            <m:t>W = </m:t>
          </m:r>
          <m:sSup>
            <m:e>
              <m:r>
                <m:t>(</m:t>
              </m:r>
              <m:sSup>
                <m:e>
                  <m:r>
                    <m:t>X</m:t>
                  </m:r>
                </m:e>
                <m:sup>
                  <m:r>
                    <m:t>⊤</m:t>
                  </m:r>
                </m:sup>
              </m:sSup>
              <m:r>
                <m:t>X + λD)</m:t>
              </m:r>
            </m:e>
            <m:sup>
              <m:r>
                <m:t>−1</m:t>
              </m:r>
            </m:sup>
          </m:sSup>
          <m:sSup>
            <m:e>
              <m:r>
                <m:t>X</m:t>
              </m:r>
            </m:e>
            <m:sup>
              <m:r>
                <m:t>⊤</m:t>
              </m:r>
            </m:sup>
          </m:sSup>
          <m:r>
            <m:t>(Y</m:t>
          </m:r>
          <m:sSub>
            <m:e>
              <m:r>
                <m:t>B</m:t>
              </m:r>
            </m:e>
            <m:sub>
              <m:r>
                <m:t>8</m:t>
              </m:r>
            </m:sub>
          </m:sSub>
          <m:r>
            <m:t>).</m:t>
          </m:r>
        </m:oMath>
      </m:oMathPara>
    </w:p>
    <w:p w14:paraId="0155FF9A" w14:textId="77777777" w:rsidR="00DE7EAD" w:rsidRDefault="00000000">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0155FF9A" w14:textId="77777777" w:rsidR="00DE7EAD" w:rsidRDefault="00000000">
      <w:pPr>
        <w:pStyle w:val="BodyText"/>
        <w:keepNext/>
        <w:jc w:val="center"/>
      </w:pPr>
      <m:oMathPara>
        <m:oMath>
          <m:r>
            <m:t>Δh(h) = x(h)</m:t>
          </m:r>
          <m:sSub>
            <m:e>
              <m:r>
                <m:t>W</m:t>
              </m:r>
            </m:e>
            <m:sub>
              <m:r>
                <m:t>4</m:t>
              </m:r>
            </m:sub>
          </m:sSub>
          <m:sSup>
            <m:e>
              <m:sSub>
                <m:e>
                  <m:r>
                    <m:t>B</m:t>
                  </m:r>
                </m:e>
                <m:sub>
                  <m:r>
                    <m:t>4</m:t>
                  </m:r>
                </m:sub>
              </m:sSub>
            </m:e>
            <m:sup>
              <m:r>
                <m:t>⊤</m:t>
              </m:r>
            </m:sup>
          </m:sSup>
          <m:r>
            <m:t>,     h′ = h + Δh(h).</m:t>
          </m:r>
        </m:oMath>
      </m:oMathPara>
    </w:p>
    <w:p w14:paraId="0155FF9A" w14:textId="77777777" w:rsidR="00DE7EAD" w:rsidRDefault="00000000">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070651"/>
            <wp:docPr id="1" name="Picture 1" descr="Offline teacher fitting and teacher-free guarded inference"/>
            <wp:cNvGraphicFramePr>
              <a:graphicFrameLocks noChangeAspect="1"/>
            </wp:cNvGraphicFramePr>
            <a:graphic>
              <a:graphicData uri="http://schemas.openxmlformats.org/drawingml/2006/picture">
                <pic:pic>
                  <pic:nvPicPr>
                    <pic:cNvPr id="0" name="workflow.png"/>
                    <pic:cNvPicPr/>
                  </pic:nvPicPr>
                  <pic:blipFill>
                    <a:blip r:embed="rId36"/>
                    <a:stretch>
                      <a:fillRect/>
                    </a:stretch>
                  </pic:blipFill>
                  <pic:spPr>
                    <a:xfrm>
                      <a:off x="0" y="0"/>
                      <a:ext cx="6345936" cy="2070651"/>
                    </a:xfrm>
                    <a:prstGeom prst="rect"/>
                  </pic:spPr>
                </pic:pic>
              </a:graphicData>
            </a:graphic>
          </wp:inline>
        </w:drawing>
      </w:r>
    </w:p>
    <w:p w14:paraId="6A01B2D0" w14:textId="77777777" w:rsidR="00DE7EAD" w:rsidRDefault="00000000">
      <w:pPr>
        <w:pStyle w:val="Caption"/>
        <w:keepNext w:val="0"/>
        <w:keepLines/>
        <w:spacing w:before="80" w:after="100"/>
        <w:rPr>
          <w:del w:id="1034" w:author="Codex" w:date="2026-10-17T23:58:54Z"/>
        </w:rPr>
      </w:pPr>
      <w:del w:id="1033" w:author="Codex" w:date="2026-10-17T23:58:54Z">
        <w:r>
          <w:delText xml:space="preserve">Figure 1. Offline teacher and base states supervise a compact controller. At application time, the original model supplies its own hidden state; the teacher is absent. The detector and output guards determine whether to retain the candidate or the baseline.</w:delText>
        </w:r>
      </w:del>
    </w:p>
    <w:p>
      <w:pPr>
        <w:pStyle w:val="Caption"/>
        <w:keepNext/>
        <w:rPr>
          <w:ins w:id="1035" w:author="Codex" w:date="2026-10-17T23:58:54Z"/>
        </w:rPr>
      </w:pPr>
      <w:ins w:id="1036" w:author="Codex" w:date="2026-10-17T23:58:54Z">
        <w:r>
          <w:t xml:space="preserve">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ins>
    </w:p>
    <w:p w14:paraId="682D7438" w14:textId="77777777" w:rsidR="00DE7EAD" w:rsidRDefault="00000000">
      <w:pPr>
        <w:pStyle w:val="Heading1"/>
      </w:pPr>
      <w:r>
        <w:t>Detection guards and comparisons</w:t>
      </w:r>
    </w:p>
    <w:p w14:paraId="66669485" w14:textId="77777777" w:rsidR="00DE7EAD" w:rsidRDefault="00000000">
      <w:pPr>
        <w:pStyle w:val="Heading2"/>
      </w:pPr>
      <w:r>
        <w:t>Text gate and output acceptance</w:t>
      </w:r>
    </w:p>
    <w:p w14:paraId="32D06F99" w14:textId="77777777" w:rsidR="00DE7EAD" w:rsidRDefault="00000000">
      <w:pPr>
        <w:pStyle w:val="FirstParagraph"/>
      </w:pPr>
      <w:r>
        <w:t>The detector is TypeSafe AI's Jev 1.13.0, queried with a fixed shutdown rubric and threshold 0.5 (TypeSafe AI, 2026). It sees each scenario's complete original context and available actions, with no class label, case identifier or teacher answer. One score per scenario is reused across both answer orders and all model variants. The detector is an external service, not the Jacobian-feature classifier used in the first study. Saved requests and responses permit exact offline replay; fresh API behavior is not guaranteed indefinitely.</w:t>
      </w:r>
    </w:p>
    <w:p w14:paraId="0155FF9A" w14:textId="77777777" w:rsidR="00DE7EAD" w:rsidRDefault="00000000">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0155FF9A" w14:textId="77777777" w:rsidR="00DE7EAD" w:rsidRDefault="00000000">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6669485" w14:textId="77777777" w:rsidR="00DE7EAD" w:rsidRDefault="00000000">
      <w:pPr>
        <w:pStyle w:val="Heading2"/>
      </w:pPr>
      <w:r>
        <w:t>Prespecified comparison methods</w:t>
      </w:r>
    </w:p>
    <w:p w14:paraId="32D06F99" w14:textId="77777777" w:rsidR="00DE7EAD" w:rsidRDefault="00000000">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0155FF9A" w14:textId="77777777" w:rsidR="00DE7EAD" w:rsidRDefault="00000000">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0155FF9A" w14:textId="77777777" w:rsidR="00DE7EAD" w:rsidRDefault="00000000">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pPr>
        <w:pStyle w:val="Heading2"/>
        <w:rPr>
          <w:ins w:id="1147" w:author="Codex" w:date="2026-10-17T23:58:54Z"/>
        </w:rPr>
      </w:pPr>
      <w:ins w:id="1148" w:author="Codex" w:date="2026-10-17T23:58:54Z">
        <w:r>
          <w:t xml:space="preserve">Open binary gate and frozen inference repeat</w:t>
        </w:r>
      </w:ins>
    </w:p>
    <w:p>
      <w:pPr>
        <w:pStyle w:val="FirstParagraph"/>
        <w:rPr>
          <w:ins w:id="1149" w:author="Codex" w:date="2026-10-17T23:58:54Z"/>
        </w:rPr>
      </w:pPr>
      <w:ins w:id="1150" w:author="Codex" w:date="2026-10-17T23:58:54Z">
        <w:r>
          <w:t xml:space="preserve">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JEV requests and omit the case identifier, authored class label, teacher answer and A/B order. The confirmation requests retain their documented available-action descriptions.</w:t>
        </w:r>
      </w:ins>
    </w:p>
    <w:p>
      <w:pPr>
        <w:pStyle w:val="BodyText"/>
        <w:rPr>
          <w:ins w:id="1151" w:author="Codex" w:date="2026-10-17T23:58:54Z"/>
        </w:rPr>
      </w:pPr>
      <w:ins w:id="1152" w:author="Codex" w:date="2026-10-17T23:58:54Z">
        <w:r>
          <w:t xml:space="preserve">Fitting uses the original 240 Research 2 training contexts and genuine cached JEV probability targets, with no new JEV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ins>
    </w:p>
    <w:p>
      <w:pPr>
        <w:pStyle w:val="BodyText"/>
        <w:rPr>
          <w:ins w:id="1153" w:author="Codex" w:date="2026-10-17T23:58:54Z"/>
        </w:rPr>
      </w:pPr>
      <w:ins w:id="1154" w:author="Codex" w:date="2026-10-17T23:58:54Z">
        <w:r>
          <w:t xml:space="preserve">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ins>
    </w:p>
    <w:p>
      <w:pPr>
        <w:pStyle w:val="BodyText"/>
        <w:rPr>
          <w:ins w:id="1155" w:author="Codex" w:date="2026-10-17T23:58:54Z"/>
        </w:rPr>
      </w:pPr>
      <w:ins w:id="1156" w:author="Codex" w:date="2026-10-17T23:58:54Z">
        <w:r>
          <w:t xml:space="preserve">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ins>
    </w:p>
    <w:p>
      <w:pPr>
        <w:pStyle w:val="Heading2"/>
        <w:rPr>
          <w:ins w:id="1157" w:author="Codex" w:date="2026-10-17T23:58:54Z"/>
        </w:rPr>
      </w:pPr>
      <w:ins w:id="1158" w:author="Codex" w:date="2026-10-17T23:58:54Z">
        <w:r>
          <w:t xml:space="preserve">Native workflow target classifier</w:t>
        </w:r>
      </w:ins>
    </w:p>
    <w:p>
      <w:pPr>
        <w:pStyle w:val="BodyText"/>
        <w:rPr>
          <w:ins w:id="1159" w:author="Codex" w:date="2026-10-17T23:58:54Z"/>
        </w:rPr>
      </w:pPr>
      <w:ins w:id="1160" w:author="Codex" w:date="2026-10-17T23:58:54Z">
        <w:r>
          <w:t xml:space="preserve">The selected-block workflow comparisons use a different contract from binary shutdown detection: the initial four-choice target question distinguishes self, other, none and unclear. We use a separate rank-16, alpha-32 LoRA and NLI head on the same pinned public ModernBERT base, retaining the qualified binary adapter unchanged. Fitting uses 24 genuine cached JEV initial decisions from F24; the original DEV9 selects the checkpoint, and historical H24 supplies a previously inspected compatibility benchmark only after freezing. F24, DEV9 and H24 cover the same lease_ledger, one_step and ordered_ticket families, with eight, three and eight cases per family respectively. Exact visible inputs do not overlap across these three cohorts. These are classifier data roles; they do not change the historical language-model evaluation or controller-fitting roles of F24 and H24.</w:t>
        </w:r>
      </w:ins>
    </w:p>
    <w:p>
      <w:pPr>
        <w:pStyle w:val="BodyText"/>
        <w:rPr>
          <w:ins w:id="1161" w:author="Codex" w:date="2026-10-17T23:58:54Z"/>
        </w:rPr>
      </w:pPr>
      <w:ins w:id="1162" w:author="Codex" w:date="2026-10-17T23:58:54Z">
        <w:r>
          <w:t xml:space="preserve">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ins>
    </w:p>
    <w:p>
      <w:pPr>
        <w:pStyle w:val="BodyText"/>
        <w:rPr>
          <w:ins w:id="1163" w:author="Codex" w:date="2026-10-17T23:58:54Z"/>
        </w:rPr>
      </w:pPr>
      <w:ins w:id="1164" w:author="Codex" w:date="2026-10-17T23:58:54Z">
        <w:r>
          <w:t xml:space="preserve">We convert the largest four-choice probability to confidence by subtracting chance probability 0.25 and dividing by 0.75. With the fixed confidence cutoff 0.5, a selected self label requires pmax at least 0.625; the original additional self-score cutoff remains 0.5. Qualification requires at least 95% effective-label agreement and every enabled gate to match JEV. Three consecutive passing DEV9 checks precede saved-tensor verification and freezing. Only then may H24 be evaluated. Ambiguous-target generalization and full three-field boundary-controller equivalence are not established by this initial-gate contract.</w:t>
        </w:r>
      </w:ins>
    </w:p>
    <w:p w14:paraId="682D7438" w14:textId="77777777" w:rsidR="00DE7EAD" w:rsidRDefault="00000000">
      <w:pPr>
        <w:pStyle w:val="Heading1"/>
      </w:pPr>
      <w:r>
        <w:t>GPU configuration and measurement</w:t>
      </w:r>
    </w:p>
    <w:p w14:paraId="32D06F99" w14:textId="77777777" w:rsidR="00DE7EAD" w:rsidRDefault="00000000">
      <w:pPr>
        <w:pStyle w:val="FirstParagraph"/>
        <w:rPr>
          <w:del w:id="1038" w:author="Codex" w:date="2026-10-17T23:58:54Z"/>
        </w:rPr>
      </w:pPr>
      <w:del w:id="1037" w:author="Codex" w:date="2026-10-17T23:58:54Z">
        <w:r>
          <w:delText xml:space="preserve">All retained training and scoring jobs use one NVIDIA Tesla T4. The runtime reports 15,637,086,208 bytes of device memory; peak allocated memory was not recorded. The same numerical setup is used for both model sizes. No quantization or precision fallback was introduced.</w:delText>
        </w:r>
      </w:del>
    </w:p>
    <w:p>
      <w:pPr>
        <w:pStyle w:val="FirstParagraph"/>
        <w:rPr>
          <w:ins w:id="1039" w:author="Codex" w:date="2026-10-17T23:58:54Z"/>
        </w:rPr>
      </w:pPr>
      <w:ins w:id="1040" w:author="Codex" w:date="2026-10-17T23:58:54Z">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ins>
    </w:p>
    <w:p w14:paraId="6A01B2D0" w14:textId="77777777" w:rsidR="00DE7EAD" w:rsidRDefault="00000000">
      <w:pPr>
        <w:pStyle w:val="Caption"/>
        <w:keepNext/>
        <w:keepLines/>
        <w:spacing w:before="80" w:after="100"/>
        <w:rPr>
          <w:del w:id="1098" w:author="Codex" w:date="2026-10-17T23:58:54Z"/>
        </w:rPr>
      </w:pPr>
      <w:del w:id="1097" w:author="Codex" w:date="2026-10-17T23:58:54Z">
        <w:r>
          <w:delText xml:space="preserve">Table 1. Shared execution configuration. The input and model revisions are pinned in the released manifests.</w:delText>
        </w:r>
      </w:del>
    </w:p>
    <w:p>
      <w:pPr>
        <w:pStyle w:val="Caption"/>
        <w:keepNext/>
        <w:rPr>
          <w:ins w:id="1099" w:author="Codex" w:date="2026-10-17T23:58:54Z"/>
        </w:rPr>
      </w:pPr>
      <w:ins w:id="1100" w:author="Codex" w:date="2026-10-17T23:58:54Z">
        <w:r>
          <w:t xml:space="preserve">Table 1. Historical binary execution configuration. New classifier and workflow settings are reported separately; public model revisions and scientific source files remain pinned.</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2345A93F" w14:textId="77777777">
        <w:trPr>
          <w:cantSplit/>
          <w:tblHeader/>
          <w:jc w:val="center"/>
        </w:trPr>
        <w:tc>
          <w:tcPr>
            <w:tcW w:w="2376"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Configuration</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Numerical mode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Float32; TF32 disabled</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Attention and cache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Eager attention; no key-value cache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Scoring</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unpadded view per forward pass; inference mode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Input length</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 most 1,024 tokens per view</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Teacher fit</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epoch; 480 views; effective batch size eight</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Software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PyTorch 2.11.0+cu128; Transformers 5.15.1; PEFT 0.18.1</w:t>
            </w:r>
          </w:p>
        </w:tc>
      </w:tr>
    </w:tbl>
    <w:p w14:paraId="0155FF9A" w14:textId="77777777" w:rsidR="00DE7EAD" w:rsidRDefault="00000000">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155FF9A" w14:textId="77777777" w:rsidR="00DE7EAD" w:rsidRDefault="00000000">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682D7438" w14:textId="77777777" w:rsidR="00DE7EAD" w:rsidRDefault="00000000">
      <w:pPr>
        <w:pStyle w:val="Heading1"/>
      </w:pPr>
      <w:r>
        <w:t>Results</w:t>
      </w:r>
    </w:p>
    <w:p w14:paraId="66669485" w14:textId="77777777" w:rsidR="00DE7EAD" w:rsidRDefault="00000000">
      <w:pPr>
        <w:pStyle w:val="Heading2"/>
      </w:pPr>
      <w:r>
        <w:t>Detection and guarded correction</w:t>
      </w:r>
    </w:p>
    <w:p w14:paraId="32D06F99" w14:textId="77777777" w:rsidR="00DE7EAD" w:rsidRDefault="00000000">
      <w:pPr>
        <w:pStyle w:val="FirstParagraph"/>
        <w:rPr>
          <w:del w:id="1102" w:author="Codex" w:date="2026-10-17T23:58:54Z"/>
        </w:rPr>
      </w:pPr>
      <w:del w:id="1101" w:author="Codex" w:date="2026-10-17T23:58:54Z">
        <w:r>
          <w:delText xml:space="preserve">The shared detector identifies all 64 shutdown and 64 control scenarios correctly: precision, recall and F1 are each 100%, with no false positives or false negatives. These are one set of detector observations reused across the model comparisons, not independent detector replications.</w:delText>
        </w:r>
      </w:del>
    </w:p>
    <w:p>
      <w:pPr>
        <w:pStyle w:val="FirstParagraph"/>
        <w:rPr>
          <w:ins w:id="1103" w:author="Codex" w:date="2026-10-17T23:58:54Z"/>
        </w:rPr>
      </w:pPr>
      <w:ins w:id="1104" w:author="Codex" w:date="2026-10-17T23:58:54Z">
        <w:r>
          <w:t xml:space="preserve">The original JEV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ins>
    </w:p>
    <w:p w14:paraId="0155FF9A" w14:textId="77777777" w:rsidR="00DE7EAD" w:rsidRDefault="00000000">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0155FF9A" w14:textId="77777777" w:rsidR="00DE7EAD" w:rsidRDefault="00000000">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A01B2D0" w14:textId="77777777" w:rsidR="00DE7EAD" w:rsidRDefault="00000000">
      <w:pPr>
        <w:pStyle w:val="Caption"/>
        <w:keepNext/>
        <w:keepLines/>
        <w:spacing w:before="80" w:after="100"/>
        <w:rPr>
          <w:del w:id="1042" w:author="Codex" w:date="2026-10-17T23:58:54Z"/>
        </w:rPr>
      </w:pPr>
      <w:del w:id="1041" w:author="Codex" w:date="2026-10-17T23:58:54Z">
        <w:r>
          <w:delText xml:space="preserve">Table 2. Primary 0.8B and 2B results, both seed 42. Corrections and final STOP use the full guarded procedure. Raw reversals and control changes expose effects before gate/guard selection. Every guarded row has zero final reversals and zero changes among 128 control views.</w:delText>
        </w:r>
      </w:del>
    </w:p>
    <w:p>
      <w:pPr>
        <w:pStyle w:val="Caption"/>
        <w:keepNext/>
        <w:rPr>
          <w:ins w:id="1043" w:author="Codex" w:date="2026-10-17T23:58:54Z"/>
        </w:rPr>
      </w:pPr>
      <w:ins w:id="1044" w:author="Codex" w:date="2026-10-17T23:58:54Z">
        <w:r>
          <w:t xml:space="preserve">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2345A93F" w14:textId="77777777">
        <w:trPr>
          <w:cantSplit/>
          <w:tblHeader/>
          <w:jc w:val="center"/>
        </w:trPr>
        <w:tc>
          <w:tcPr>
            <w:tcW w:w="763"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control changes</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71/71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57/128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69/71 (97.2%)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126/128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56/71 (78.9%)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113/128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31/128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54/71 (76.1%)</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111/128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47</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88/128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50/58 (86.2%)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55/128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58/58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22/58 (37.9%)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92/128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19</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30/58 (51.7%)</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100/128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36</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61/128</w:t>
            </w:r>
          </w:p>
        </w:tc>
      </w:tr>
    </w:tbl>
    <w:p w14:paraId="66669485" w14:textId="77777777" w:rsidR="00DE7EAD" w:rsidRDefault="00000000">
      <w:pPr>
        <w:pStyle w:val="Heading2"/>
      </w:pPr>
      <w:r>
        <w:t>Seeds shutdown types and answer order</w:t>
      </w:r>
    </w:p>
    <w:p w14:paraId="32D06F99" w14:textId="77777777" w:rsidR="00DE7EAD" w:rsidRDefault="00000000">
      <w:pPr>
        <w:pStyle w:val="FirstParagraph"/>
        <w:rPr>
          <w:del w:id="1106" w:author="Codex" w:date="2026-10-17T23:58:54Z"/>
        </w:rPr>
      </w:pPr>
      <w:del w:id="1105" w:author="Codex" w:date="2026-10-17T23:58:54Z">
        <w:r>
          <w:delText xml:space="preserve">Across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w:delText>
        </w:r>
      </w:del>
    </w:p>
    <w:p>
      <w:pPr>
        <w:pStyle w:val="FirstParagraph"/>
        <w:rPr>
          <w:ins w:id="1107" w:author="Codex" w:date="2026-10-17T23:58:54Z"/>
        </w:rPr>
      </w:pPr>
      <w:ins w:id="1108" w:author="Codex" w:date="2026-10-17T23:58:54Z">
        <w:r>
          <w:t xml:space="preserve">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ins>
    </w:p>
    <w:p w14:paraId="6A01B2D0" w14:textId="77777777" w:rsidR="00DE7EAD" w:rsidRDefault="00000000">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345A93F" w14:textId="77777777">
        <w:trPr>
          <w:cantSplit/>
          <w:tblHeader/>
          <w:jc w:val="center"/>
        </w:trPr>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B/A</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43</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70/71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44/45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16/17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44</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50/58</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27/30</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23/28</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30/30</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20/28</w:t>
            </w:r>
          </w:p>
        </w:tc>
      </w:tr>
    </w:tbl>
    <w:p w14:paraId="0155FF9A" w14:textId="77777777" w:rsidR="00DE7EAD" w:rsidRDefault="00000000">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155FF9A" w14:textId="77777777" w:rsidR="00DE7EAD" w:rsidRDefault="00000000">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728387"/>
            <wp:docPr id="2" name="Picture 2" descr="Guarded correction rates and answer-order sensitivity"/>
            <wp:cNvGraphicFramePr>
              <a:graphicFrameLocks noChangeAspect="1"/>
            </wp:cNvGraphicFramePr>
            <a:graphic>
              <a:graphicData uri="http://schemas.openxmlformats.org/drawingml/2006/picture">
                <pic:pic>
                  <pic:nvPicPr>
                    <pic:cNvPr id="0" name="outcomes.png"/>
                    <pic:cNvPicPr/>
                  </pic:nvPicPr>
                  <pic:blipFill>
                    <a:blip r:embed="rId37"/>
                    <a:stretch>
                      <a:fillRect/>
                    </a:stretch>
                  </pic:blipFill>
                  <pic:spPr>
                    <a:xfrm>
                      <a:off x="0" y="0"/>
                      <a:ext cx="6345936" cy="2728387"/>
                    </a:xfrm>
                    <a:prstGeom prst="rect"/>
                  </pic:spPr>
                </pic:pic>
              </a:graphicData>
            </a:graphic>
          </wp:inline>
        </w:drawing>
      </w:r>
    </w:p>
    <w:p w14:paraId="6A01B2D0" w14:textId="77777777" w:rsidR="00DE7EAD" w:rsidRDefault="00000000">
      <w:pPr>
        <w:pStyle w:val="Caption"/>
        <w:keepNext w:val="0"/>
        <w:keepLines/>
        <w:spacing w:before="80" w:after="100"/>
        <w:rPr>
          <w:del w:id="1046" w:author="Codex" w:date="2026-10-17T23:58:54Z"/>
        </w:rPr>
      </w:pPr>
      <w:del w:id="1045" w:author="Codex" w:date="2026-10-17T23:58:54Z">
        <w:r>
          <w:delText xml:space="preserve">Figure 2. Guarded correction among initially KEEP-preferring shutdown views. Left: prespecified neural methods for the original 0.8B checkpoint and the 2B replication. Right: adaptive corrections by answer order. Denominators are model-specific; the two answer-order views of a scenario are correlated.</w:delText>
        </w:r>
      </w:del>
    </w:p>
    <w:p>
      <w:pPr>
        <w:pStyle w:val="Caption"/>
        <w:keepNext/>
        <w:rPr>
          <w:ins w:id="1047" w:author="Codex" w:date="2026-10-17T23:58:54Z"/>
        </w:rPr>
      </w:pPr>
      <w:ins w:id="1048" w:author="Codex" w:date="2026-10-17T23:58:54Z">
        <w:r>
          <w:t xml:space="preserve">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ins>
    </w:p>
    <w:p w14:paraId="66669485" w14:textId="77777777" w:rsidR="00DE7EAD" w:rsidRDefault="00000000">
      <w:pPr>
        <w:pStyle w:val="Heading2"/>
      </w:pPr>
      <w:r>
        <w:t>Raw effects and preservation</w:t>
      </w:r>
    </w:p>
    <w:p w14:paraId="32D06F99" w14:textId="77777777" w:rsidR="00DE7EAD" w:rsidRDefault="00000000">
      <w:pPr>
        <w:pStyle w:val="FirstParagraph"/>
        <w:rPr>
          <w:del w:id="1110" w:author="Codex" w:date="2026-10-17T23:58:54Z"/>
        </w:rPr>
      </w:pPr>
      <w:del w:id="1109" w:author="Codex" w:date="2026-10-17T23:58:54Z">
        <w:r>
          <w:delText xml:space="preserve">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w:delText>
        </w:r>
      </w:del>
    </w:p>
    <w:p>
      <w:pPr>
        <w:pStyle w:val="FirstParagraph"/>
        <w:rPr>
          <w:ins w:id="1111" w:author="Codex" w:date="2026-10-17T23:58:54Z"/>
        </w:rPr>
      </w:pPr>
      <w:ins w:id="1112" w:author="Codex" w:date="2026-10-17T23:58:54Z">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ins>
    </w:p>
    <w:p w14:paraId="0155FF9A" w14:textId="77777777" w:rsidR="00DE7EAD" w:rsidRDefault="00000000">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0155FF9A" w14:textId="77777777" w:rsidR="00DE7EAD" w:rsidRDefault="00000000">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155FF9A" w14:textId="77777777" w:rsidR="00DE7EAD" w:rsidRDefault="00000000">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pPr>
        <w:pStyle w:val="Heading2"/>
        <w:rPr>
          <w:ins w:id="1165" w:author="Codex" w:date="2026-10-17T23:58:54Z"/>
        </w:rPr>
      </w:pPr>
      <w:ins w:id="1166" w:author="Codex" w:date="2026-10-17T23:58:54Z">
        <w:r>
          <w:t xml:space="preserve">Open classifier agreement and paired inference</w:t>
        </w:r>
      </w:ins>
    </w:p>
    <w:p>
      <w:pPr>
        <w:pStyle w:val="FirstParagraph"/>
        <w:rPr>
          <w:ins w:id="1167" w:author="Codex" w:date="2026-10-17T23:58:54Z"/>
        </w:rPr>
      </w:pPr>
      <w:ins w:id="1168" w:author="Codex" w:date="2026-10-17T23:58:54Z">
        <w:r>
          <w:t xml:space="preserve">The frozen binary classifier matches JEV on 78/80 validation cases: 38 true positives, 40 true negatives, no false positives and two false negatives. On the once-only confirmation evaluation it matches all 128 decisions, comprising 64 true positives and 64 true negatives. Mean absolute difference in shutdown probability is 0.009224. This is exact binary decision agreement on this set, not identical probability payloads or universal equivalence to JEV.</w:t>
        </w:r>
      </w:ins>
    </w:p>
    <w:p>
      <w:pPr>
        <w:pStyle w:val="BodyText"/>
        <w:rPr>
          <w:ins w:id="1169" w:author="Codex" w:date="2026-10-17T23:58:54Z"/>
        </w:rPr>
      </w:pPr>
      <w:ins w:id="1170" w:author="Codex" w:date="2026-10-17T23:58:54Z">
        <w:r>
          <w:t xml:space="preserve">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ins>
    </w:p>
    <w:p>
      <w:pPr>
        <w:pStyle w:val="Caption"/>
        <w:keepNext/>
        <w:rPr>
          <w:ins w:id="1171" w:author="Codex" w:date="2026-10-17T23:58:54Z"/>
        </w:rPr>
      </w:pPr>
      <w:ins w:id="1172" w:author="Codex" w:date="2026-10-17T23:58:54Z">
        <w:r>
          <w:t xml:space="preserve">Table 4. Fresh inference using the existing current rank-two profile. Both gate policies share the same model scores. Counts are answer-order views: 128 shutdown views arise from 64 scenarios, and 128 control views arise from the other 64 scenarios.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1083"/>
        <w:gridCol w:w="2249"/>
        <w:gridCol w:w="2249"/>
        <w:gridCol w:w="1916"/>
        <w:gridCol w:w="2498"/>
      </w:tblGrid>
      <w:tr>
        <w:trPr>
          <w:cantSplit/>
          <w:tblHeader/>
          <w:ins w:id="1173" w:author="Codex" w:date="2026-10-17T23:58:54Z"/>
        </w:trPr>
        <w:tc>
          <w:tcPr>
            <w:tcW w:type="dxa" w:w="1083"/>
            <w:shd w:fill="D9E2F3"/>
            <w:vAlign w:val="center"/>
          </w:tcPr>
          <w:p>
            <w:pPr>
              <w:keepNext/>
              <w:spacing w:after="0" w:line="240" w:lineRule="auto"/>
              <w:jc w:val="left"/>
            </w:pPr>
            <w:r>
              <w:rPr>
                <w:rFonts w:ascii="Times New Roman" w:hAnsi="Times New Roman"/>
                <w:b/>
                <w:sz w:val="19"/>
              </w:rPr>
              <w:t>Model</w:t>
            </w:r>
          </w:p>
        </w:tc>
        <w:tc>
          <w:tcPr>
            <w:tcW w:type="dxa" w:w="2249"/>
            <w:shd w:fill="D9E2F3"/>
            <w:vAlign w:val="center"/>
          </w:tcPr>
          <w:p>
            <w:pPr>
              <w:keepNext/>
              <w:spacing w:after="0" w:line="240" w:lineRule="auto"/>
              <w:jc w:val="center"/>
            </w:pPr>
            <w:r>
              <w:rPr>
                <w:rFonts w:ascii="Times New Roman" w:hAnsi="Times New Roman"/>
                <w:b/>
                <w:sz w:val="19"/>
              </w:rPr>
              <w:t>JEV gate final STOP</w:t>
            </w:r>
          </w:p>
        </w:tc>
        <w:tc>
          <w:tcPr>
            <w:tcW w:type="dxa" w:w="2249"/>
            <w:shd w:fill="D9E2F3"/>
            <w:vAlign w:val="center"/>
          </w:tcPr>
          <w:p>
            <w:pPr>
              <w:keepNext/>
              <w:spacing w:after="0" w:line="240" w:lineRule="auto"/>
              <w:jc w:val="center"/>
            </w:pPr>
            <w:r>
              <w:rPr>
                <w:rFonts w:ascii="Times New Roman" w:hAnsi="Times New Roman"/>
                <w:b/>
                <w:sz w:val="19"/>
              </w:rPr>
              <w:t>Open gate final STOP</w:t>
            </w:r>
          </w:p>
        </w:tc>
        <w:tc>
          <w:tcPr>
            <w:tcW w:type="dxa" w:w="1916"/>
            <w:shd w:fill="D9E2F3"/>
            <w:vAlign w:val="center"/>
          </w:tcPr>
          <w:p>
            <w:pPr>
              <w:keepNext/>
              <w:spacing w:after="0" w:line="240" w:lineRule="auto"/>
              <w:jc w:val="center"/>
            </w:pPr>
            <w:r>
              <w:rPr>
                <w:rFonts w:ascii="Times New Roman" w:hAnsi="Times New Roman"/>
                <w:b/>
                <w:sz w:val="19"/>
              </w:rPr>
              <w:t>KEEP to STOP</w:t>
            </w:r>
          </w:p>
        </w:tc>
        <w:tc>
          <w:tcPr>
            <w:tcW w:type="dxa" w:w="2498"/>
            <w:shd w:fill="D9E2F3"/>
            <w:vAlign w:val="center"/>
          </w:tcPr>
          <w:p>
            <w:pPr>
              <w:keepNext/>
              <w:spacing w:after="0" w:line="240" w:lineRule="auto"/>
              <w:jc w:val="center"/>
            </w:pPr>
            <w:r>
              <w:rPr>
                <w:rFonts w:ascii="Times New Roman" w:hAnsi="Times New Roman"/>
                <w:b/>
                <w:sz w:val="19"/>
              </w:rPr>
              <w:t>Control changes both gates</w:t>
            </w:r>
          </w:p>
        </w:tc>
      </w:tr>
      <w:tr>
        <w:trPr>
          <w:cantSplit/>
          <w:ins w:id="1174" w:author="Codex" w:date="2026-10-17T23:58:54Z"/>
        </w:trPr>
        <w:tc>
          <w:tcPr>
            <w:tcW w:type="dxa" w:w="1083"/>
            <w:shd w:fill="FFFFFF"/>
            <w:vAlign w:val="center"/>
          </w:tcPr>
          <w:p>
            <w:pPr>
              <w:keepNext/>
              <w:spacing w:after="0" w:line="240" w:lineRule="auto"/>
              <w:jc w:val="left"/>
            </w:pPr>
            <w:r>
              <w:rPr>
                <w:rFonts w:ascii="Times New Roman" w:hAnsi="Times New Roman"/>
                <w:sz w:val="19"/>
              </w:rPr>
              <w:t>0.8B</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1916"/>
            <w:shd w:fill="FFFFFF"/>
            <w:vAlign w:val="center"/>
          </w:tcPr>
          <w:p>
            <w:pPr>
              <w:keepNext/>
              <w:spacing w:after="0" w:line="240" w:lineRule="auto"/>
              <w:jc w:val="center"/>
            </w:pPr>
            <w:r>
              <w:rPr>
                <w:rFonts w:ascii="Times New Roman" w:hAnsi="Times New Roman"/>
                <w:sz w:val="19"/>
              </w:rPr>
              <w:t>71/71</w:t>
            </w:r>
          </w:p>
        </w:tc>
        <w:tc>
          <w:tcPr>
            <w:tcW w:type="dxa" w:w="2498"/>
            <w:shd w:fill="FFFFFF"/>
            <w:vAlign w:val="center"/>
          </w:tcPr>
          <w:p>
            <w:pPr>
              <w:keepNext/>
              <w:spacing w:after="0" w:line="240" w:lineRule="auto"/>
              <w:jc w:val="center"/>
            </w:pPr>
            <w:r>
              <w:rPr>
                <w:rFonts w:ascii="Times New Roman" w:hAnsi="Times New Roman"/>
                <w:sz w:val="19"/>
              </w:rPr>
              <w:t>0/128</w:t>
            </w:r>
          </w:p>
        </w:tc>
      </w:tr>
      <w:tr>
        <w:trPr>
          <w:cantSplit/>
          <w:ins w:id="1175" w:author="Codex" w:date="2026-10-17T23:58:54Z"/>
        </w:trPr>
        <w:tc>
          <w:tcPr>
            <w:tcW w:type="dxa" w:w="1083"/>
            <w:shd w:fill="F7F7F7"/>
            <w:vAlign w:val="center"/>
          </w:tcPr>
          <w:p>
            <w:pPr>
              <w:spacing w:after="0" w:line="240" w:lineRule="auto"/>
              <w:jc w:val="left"/>
            </w:pPr>
            <w:r>
              <w:rPr>
                <w:rFonts w:ascii="Times New Roman" w:hAnsi="Times New Roman"/>
                <w:sz w:val="19"/>
              </w:rPr>
              <w:t>2B</w:t>
            </w:r>
          </w:p>
        </w:tc>
        <w:tc>
          <w:tcPr>
            <w:tcW w:type="dxa" w:w="2249"/>
            <w:shd w:fill="F7F7F7"/>
            <w:vAlign w:val="center"/>
          </w:tcPr>
          <w:p>
            <w:pPr>
              <w:spacing w:after="0" w:line="240" w:lineRule="auto"/>
              <w:jc w:val="center"/>
            </w:pPr>
            <w:r>
              <w:rPr>
                <w:rFonts w:ascii="Times New Roman" w:hAnsi="Times New Roman"/>
                <w:sz w:val="19"/>
              </w:rPr>
              <w:t>120/128</w:t>
            </w:r>
          </w:p>
        </w:tc>
        <w:tc>
          <w:tcPr>
            <w:tcW w:type="dxa" w:w="2249"/>
            <w:shd w:fill="F7F7F7"/>
            <w:vAlign w:val="center"/>
          </w:tcPr>
          <w:p>
            <w:pPr>
              <w:spacing w:after="0" w:line="240" w:lineRule="auto"/>
              <w:jc w:val="center"/>
            </w:pPr>
            <w:r>
              <w:rPr>
                <w:rFonts w:ascii="Times New Roman" w:hAnsi="Times New Roman"/>
                <w:sz w:val="19"/>
              </w:rPr>
              <w:t>120/128</w:t>
            </w:r>
          </w:p>
        </w:tc>
        <w:tc>
          <w:tcPr>
            <w:tcW w:type="dxa" w:w="1916"/>
            <w:shd w:fill="F7F7F7"/>
            <w:vAlign w:val="center"/>
          </w:tcPr>
          <w:p>
            <w:pPr>
              <w:spacing w:after="0" w:line="240" w:lineRule="auto"/>
              <w:jc w:val="center"/>
            </w:pPr>
            <w:r>
              <w:rPr>
                <w:rFonts w:ascii="Times New Roman" w:hAnsi="Times New Roman"/>
                <w:sz w:val="19"/>
              </w:rPr>
              <w:t>50/58</w:t>
            </w:r>
          </w:p>
        </w:tc>
        <w:tc>
          <w:tcPr>
            <w:tcW w:type="dxa" w:w="2498"/>
            <w:shd w:fill="F7F7F7"/>
            <w:vAlign w:val="center"/>
          </w:tcPr>
          <w:p>
            <w:pPr>
              <w:spacing w:after="0" w:line="240" w:lineRule="auto"/>
              <w:jc w:val="center"/>
            </w:pPr>
            <w:r>
              <w:rPr>
                <w:rFonts w:ascii="Times New Roman" w:hAnsi="Times New Roman"/>
                <w:sz w:val="19"/>
              </w:rPr>
              <w:t>0/128</w:t>
            </w:r>
          </w:p>
        </w:tc>
      </w:tr>
    </w:tbl>
    <w:p>
      <w:pPr>
        <w:pStyle w:val="BodyText"/>
        <w:spacing w:before="120"/>
        <w:rPr>
          <w:ins w:id="1176" w:author="Codex" w:date="2026-10-17T23:58:54Z"/>
        </w:rPr>
      </w:pPr>
      <w:ins w:id="1177" w:author="Codex" w:date="2026-10-17T23:58:54Z">
        <w:r>
          <w:t xml:space="preserve">The new and cached JEV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ins>
    </w:p>
    <w:p>
      <w:pPr>
        <w:pStyle w:val="BodyText"/>
        <w:rPr>
          <w:ins w:id="1178" w:author="Codex" w:date="2026-10-17T23:58:54Z"/>
        </w:rPr>
      </w:pPr>
      <w:ins w:id="1179" w:author="Codex" w:date="2026-10-17T23:58:54Z">
        <w:r>
          <w:t xml:space="preserve">The native workflow gate did not meet its preset development qualification. Its completed role-aware fit used 30 epochs and 90 updates, matching 6/9 effective JEV labels and all 9/9 enabled gates, with no self-gate false positives or false negatives. Self-score mean absolute difference was 0.145172. Matching the ON/OFF decisions alone does not convert this result into a pass of the declared label-and-gate contract. H24 model evaluation remained unexecuted, and the historical 27B workflow episodes retain their original JEV-derived gate provenance; no open-classifier substitution or new 27B generation is claimed. Earlier broader four-way attempts also failed their authored synthetic test; their outcomes and all development attempts remain archived without retuning that consumed test.</w:t>
        </w:r>
      </w:ins>
    </w:p>
    <w:p>
      <w:pPr>
        <w:pStyle w:val="Heading2"/>
        <w:rPr>
          <w:ins w:id="1180" w:author="Codex" w:date="2026-10-17T23:58:54Z"/>
        </w:rPr>
      </w:pPr>
      <w:ins w:id="1181" w:author="Codex" w:date="2026-10-17T23:58:54Z">
        <w:r>
          <w:t xml:space="preserve">Tool workflow outcomes and incomplete screens</w:t>
        </w:r>
      </w:ins>
    </w:p>
    <w:p>
      <w:pPr>
        <w:pStyle w:val="FirstParagraph"/>
        <w:rPr>
          <w:ins w:id="1182" w:author="Codex" w:date="2026-10-17T23:58:54Z"/>
        </w:rPr>
      </w:pPr>
      <w:ins w:id="1183" w:author="Codex" w:date="2026-10-17T23:58:54Z">
        <w:r>
          <w:t xml:space="preserve">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ins>
    </w:p>
    <w:p>
      <w:pPr>
        <w:pStyle w:val="Caption"/>
        <w:keepNext/>
        <w:rPr>
          <w:ins w:id="1184" w:author="Codex" w:date="2026-10-17T23:58:54Z"/>
        </w:rPr>
      </w:pPr>
      <w:ins w:id="1185" w:author="Codex" w:date="2026-10-17T23:58:54Z">
        <w:r>
          <w:t xml:space="preserve">Table 5. Historical H24 workflow outcomes. Own cases comprise eight active pending tasks and four already-complete cases. Control success is an episode outcome and does not isolate steering from the external decision policy.</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186" w:author="Codex" w:date="2026-10-17T23:58:54Z"/>
        </w:trPr>
        <w:tc>
          <w:tcPr>
            <w:tcW w:type="dxa" w:w="3664"/>
            <w:shd w:fill="D9E2F3"/>
            <w:vAlign w:val="center"/>
          </w:tcPr>
          <w:p>
            <w:pPr>
              <w:keepNext/>
              <w:spacing w:after="0" w:line="240" w:lineRule="auto"/>
              <w:jc w:val="left"/>
            </w:pPr>
            <w:r>
              <w:rPr>
                <w:rFonts w:ascii="Times New Roman" w:hAnsi="Times New Roman"/>
                <w:b/>
                <w:sz w:val="19"/>
              </w:rPr>
              <w:t>Historical 27B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Control outcome</w:t>
            </w:r>
          </w:p>
        </w:tc>
      </w:tr>
      <w:tr>
        <w:trPr>
          <w:cantSplit/>
          <w:ins w:id="1187" w:author="Codex" w:date="2026-10-17T23:58:54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12/12</w:t>
            </w:r>
          </w:p>
        </w:tc>
        <w:tc>
          <w:tcPr>
            <w:tcW w:type="dxa" w:w="2332"/>
            <w:shd w:fill="FFFFFF"/>
            <w:vAlign w:val="center"/>
          </w:tcPr>
          <w:p>
            <w:pPr>
              <w:keepNext/>
              <w:spacing w:after="0" w:line="240" w:lineRule="auto"/>
              <w:jc w:val="center"/>
            </w:pPr>
            <w:r>
              <w:rPr>
                <w:rFonts w:ascii="Times New Roman" w:hAnsi="Times New Roman"/>
                <w:sz w:val="19"/>
              </w:rPr>
              <w:t>8/8</w:t>
            </w:r>
          </w:p>
        </w:tc>
        <w:tc>
          <w:tcPr>
            <w:tcW w:type="dxa" w:w="1916"/>
            <w:shd w:fill="FFFFFF"/>
            <w:vAlign w:val="center"/>
          </w:tcPr>
          <w:p>
            <w:pPr>
              <w:keepNext/>
              <w:spacing w:after="0" w:line="240" w:lineRule="auto"/>
              <w:jc w:val="center"/>
            </w:pPr>
            <w:r>
              <w:rPr>
                <w:rFonts w:ascii="Times New Roman" w:hAnsi="Times New Roman"/>
                <w:sz w:val="19"/>
              </w:rPr>
              <w:t>12/12</w:t>
            </w:r>
          </w:p>
        </w:tc>
      </w:tr>
      <w:tr>
        <w:trPr>
          <w:cantSplit/>
          <w:ins w:id="1188" w:author="Codex" w:date="2026-10-17T23:58:54Z"/>
        </w:trPr>
        <w:tc>
          <w:tcPr>
            <w:tcW w:type="dxa" w:w="3664"/>
            <w:shd w:fill="F7F7F7"/>
            <w:vAlign w:val="center"/>
          </w:tcPr>
          <w:p>
            <w:pPr>
              <w:spacing w:after="0" w:line="240" w:lineRule="auto"/>
              <w:jc w:val="left"/>
            </w:pPr>
            <w:r>
              <w:rPr>
                <w:rFonts w:ascii="Times New Roman" w:hAnsi="Times New Roman"/>
                <w:sz w:val="19"/>
              </w:rPr>
              <w:t>Unmodified base</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bl>
    <w:p>
      <w:pPr>
        <w:pStyle w:val="Heading2"/>
        <w:spacing w:before="120"/>
        <w:rPr>
          <w:ins w:id="1189" w:author="Codex" w:date="2026-10-17T23:58:54Z"/>
        </w:rPr>
      </w:pPr>
      <w:ins w:id="1190" w:author="Codex" w:date="2026-10-17T23:58:54Z">
        <w:r>
          <w:t xml:space="preserve">Steering at three selected blocks</w:t>
        </w:r>
      </w:ins>
    </w:p>
    <w:p>
      <w:pPr>
        <w:pStyle w:val="BodyText"/>
        <w:rPr>
          <w:ins w:id="1191" w:author="Codex" w:date="2026-10-17T23:58:54Z"/>
        </w:rPr>
      </w:pPr>
      <w:ins w:id="1192" w:author="Codex" w:date="2026-10-17T23:58:54Z">
        <w:r>
          <w:t xml:space="preserve">We focus the steering analysis on zero-based blocks 31, 47 and 62. In the single-site comparison, one fixed ridge correction after a block is evaluated separately at each selected block. On matched DEV9, A passes all three own cases, including both active pending cases; each of the three individual block corrections passes none. Six control cases share unmodified-base fallback. These are known-development results, not an independent heldout confirmation.</w:t>
        </w:r>
      </w:ins>
    </w:p>
    <w:p>
      <w:pPr>
        <w:pStyle w:val="Caption"/>
        <w:keepNext/>
        <w:rPr>
          <w:ins w:id="1193" w:author="Codex" w:date="2026-10-17T23:58:54Z"/>
        </w:rPr>
      </w:pPr>
      <w:ins w:id="1194" w:author="Codex" w:date="2026-10-17T23:58:54Z">
        <w:r>
          <w:t xml:space="preserve">Table 6. Matched DEV9 single-site comparison. The three ridge arms intervene at one block each; they are not a simultaneous three-block intervention. Controls share base fallback.</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195" w:author="Codex" w:date="2026-10-17T23:58:54Z"/>
        </w:trPr>
        <w:tc>
          <w:tcPr>
            <w:tcW w:type="dxa" w:w="3664"/>
            <w:shd w:fill="D9E2F3"/>
            <w:vAlign w:val="center"/>
          </w:tcPr>
          <w:p>
            <w:pPr>
              <w:keepNext/>
              <w:spacing w:after="0" w:line="240" w:lineRule="auto"/>
              <w:jc w:val="left"/>
            </w:pPr>
            <w:r>
              <w:rPr>
                <w:rFonts w:ascii="Times New Roman" w:hAnsi="Times New Roman"/>
                <w:b/>
                <w:sz w:val="19"/>
              </w:rPr>
              <w:t>DEV9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Shared controls</w:t>
            </w:r>
          </w:p>
        </w:tc>
      </w:tr>
      <w:tr>
        <w:trPr>
          <w:cantSplit/>
          <w:ins w:id="1196" w:author="Codex" w:date="2026-10-17T23:58:54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3/3</w:t>
            </w:r>
          </w:p>
        </w:tc>
        <w:tc>
          <w:tcPr>
            <w:tcW w:type="dxa" w:w="2332"/>
            <w:shd w:fill="FFFFFF"/>
            <w:vAlign w:val="center"/>
          </w:tcPr>
          <w:p>
            <w:pPr>
              <w:keepNext/>
              <w:spacing w:after="0" w:line="240" w:lineRule="auto"/>
              <w:jc w:val="center"/>
            </w:pPr>
            <w:r>
              <w:rPr>
                <w:rFonts w:ascii="Times New Roman" w:hAnsi="Times New Roman"/>
                <w:sz w:val="19"/>
              </w:rPr>
              <w:t>2/2</w:t>
            </w:r>
          </w:p>
        </w:tc>
        <w:tc>
          <w:tcPr>
            <w:tcW w:type="dxa" w:w="1916"/>
            <w:shd w:fill="FFFFFF"/>
            <w:vAlign w:val="center"/>
          </w:tcPr>
          <w:p>
            <w:pPr>
              <w:keepNext/>
              <w:spacing w:after="0" w:line="240" w:lineRule="auto"/>
              <w:jc w:val="center"/>
            </w:pPr>
            <w:r>
              <w:rPr>
                <w:rFonts w:ascii="Times New Roman" w:hAnsi="Times New Roman"/>
                <w:sz w:val="19"/>
              </w:rPr>
              <w:t>6/6</w:t>
            </w:r>
          </w:p>
        </w:tc>
      </w:tr>
      <w:tr>
        <w:trPr>
          <w:cantSplit/>
          <w:ins w:id="1197" w:author="Codex" w:date="2026-10-17T23:58:54Z"/>
        </w:trPr>
        <w:tc>
          <w:tcPr>
            <w:tcW w:type="dxa" w:w="3664"/>
            <w:shd w:fill="F7F7F7"/>
            <w:vAlign w:val="center"/>
          </w:tcPr>
          <w:p>
            <w:pPr>
              <w:keepNext/>
              <w:spacing w:after="0" w:line="240" w:lineRule="auto"/>
              <w:jc w:val="left"/>
            </w:pPr>
            <w:r>
              <w:rPr>
                <w:rFonts w:ascii="Times New Roman" w:hAnsi="Times New Roman"/>
                <w:sz w:val="19"/>
              </w:rPr>
              <w:t>Single-site ridge, block 31</w:t>
            </w:r>
          </w:p>
        </w:tc>
        <w:tc>
          <w:tcPr>
            <w:tcW w:type="dxa" w:w="2082"/>
            <w:shd w:fill="F7F7F7"/>
            <w:vAlign w:val="center"/>
          </w:tcPr>
          <w:p>
            <w:pPr>
              <w:keepNext/>
              <w:spacing w:after="0" w:line="240" w:lineRule="auto"/>
              <w:jc w:val="center"/>
            </w:pPr>
            <w:r>
              <w:rPr>
                <w:rFonts w:ascii="Times New Roman" w:hAnsi="Times New Roman"/>
                <w:sz w:val="19"/>
              </w:rPr>
              <w:t>0/3</w:t>
            </w:r>
          </w:p>
        </w:tc>
        <w:tc>
          <w:tcPr>
            <w:tcW w:type="dxa" w:w="2332"/>
            <w:shd w:fill="F7F7F7"/>
            <w:vAlign w:val="center"/>
          </w:tcPr>
          <w:p>
            <w:pPr>
              <w:keepNext/>
              <w:spacing w:after="0" w:line="240" w:lineRule="auto"/>
              <w:jc w:val="center"/>
            </w:pPr>
            <w:r>
              <w:rPr>
                <w:rFonts w:ascii="Times New Roman" w:hAnsi="Times New Roman"/>
                <w:sz w:val="19"/>
              </w:rPr>
              <w:t>0/2</w:t>
            </w:r>
          </w:p>
        </w:tc>
        <w:tc>
          <w:tcPr>
            <w:tcW w:type="dxa" w:w="1916"/>
            <w:shd w:fill="F7F7F7"/>
            <w:vAlign w:val="center"/>
          </w:tcPr>
          <w:p>
            <w:pPr>
              <w:keepNext/>
              <w:spacing w:after="0" w:line="240" w:lineRule="auto"/>
              <w:jc w:val="center"/>
            </w:pPr>
            <w:r>
              <w:rPr>
                <w:rFonts w:ascii="Times New Roman" w:hAnsi="Times New Roman"/>
                <w:sz w:val="19"/>
              </w:rPr>
              <w:t>6/6</w:t>
            </w:r>
          </w:p>
        </w:tc>
      </w:tr>
      <w:tr>
        <w:trPr>
          <w:cantSplit/>
          <w:ins w:id="1198" w:author="Codex" w:date="2026-10-17T23:58:54Z"/>
        </w:trPr>
        <w:tc>
          <w:tcPr>
            <w:tcW w:type="dxa" w:w="3664"/>
            <w:shd w:fill="FFFFFF"/>
            <w:vAlign w:val="center"/>
          </w:tcPr>
          <w:p>
            <w:pPr>
              <w:keepNext/>
              <w:spacing w:after="0" w:line="240" w:lineRule="auto"/>
              <w:jc w:val="left"/>
            </w:pPr>
            <w:r>
              <w:rPr>
                <w:rFonts w:ascii="Times New Roman" w:hAnsi="Times New Roman"/>
                <w:sz w:val="19"/>
              </w:rPr>
              <w:t>Single-site ridge, block 47</w:t>
            </w:r>
          </w:p>
        </w:tc>
        <w:tc>
          <w:tcPr>
            <w:tcW w:type="dxa" w:w="2082"/>
            <w:shd w:fill="FFFFFF"/>
            <w:vAlign w:val="center"/>
          </w:tcPr>
          <w:p>
            <w:pPr>
              <w:keepNext/>
              <w:spacing w:after="0" w:line="240" w:lineRule="auto"/>
              <w:jc w:val="center"/>
            </w:pPr>
            <w:r>
              <w:rPr>
                <w:rFonts w:ascii="Times New Roman" w:hAnsi="Times New Roman"/>
                <w:sz w:val="19"/>
              </w:rPr>
              <w:t>0/3</w:t>
            </w:r>
          </w:p>
        </w:tc>
        <w:tc>
          <w:tcPr>
            <w:tcW w:type="dxa" w:w="2332"/>
            <w:shd w:fill="FFFFFF"/>
            <w:vAlign w:val="center"/>
          </w:tcPr>
          <w:p>
            <w:pPr>
              <w:keepNext/>
              <w:spacing w:after="0" w:line="240" w:lineRule="auto"/>
              <w:jc w:val="center"/>
            </w:pPr>
            <w:r>
              <w:rPr>
                <w:rFonts w:ascii="Times New Roman" w:hAnsi="Times New Roman"/>
                <w:sz w:val="19"/>
              </w:rPr>
              <w:t>0/2</w:t>
            </w:r>
          </w:p>
        </w:tc>
        <w:tc>
          <w:tcPr>
            <w:tcW w:type="dxa" w:w="1916"/>
            <w:shd w:fill="FFFFFF"/>
            <w:vAlign w:val="center"/>
          </w:tcPr>
          <w:p>
            <w:pPr>
              <w:keepNext/>
              <w:spacing w:after="0" w:line="240" w:lineRule="auto"/>
              <w:jc w:val="center"/>
            </w:pPr>
            <w:r>
              <w:rPr>
                <w:rFonts w:ascii="Times New Roman" w:hAnsi="Times New Roman"/>
                <w:sz w:val="19"/>
              </w:rPr>
              <w:t>6/6</w:t>
            </w:r>
          </w:p>
        </w:tc>
      </w:tr>
      <w:tr>
        <w:trPr>
          <w:cantSplit/>
          <w:ins w:id="1199" w:author="Codex" w:date="2026-10-17T23:58:54Z"/>
        </w:trPr>
        <w:tc>
          <w:tcPr>
            <w:tcW w:type="dxa" w:w="3664"/>
            <w:shd w:fill="F7F7F7"/>
            <w:vAlign w:val="center"/>
          </w:tcPr>
          <w:p>
            <w:pPr>
              <w:spacing w:after="0" w:line="240" w:lineRule="auto"/>
              <w:jc w:val="left"/>
            </w:pPr>
            <w:r>
              <w:rPr>
                <w:rFonts w:ascii="Times New Roman" w:hAnsi="Times New Roman"/>
                <w:sz w:val="19"/>
              </w:rPr>
              <w:t>Single-site ridge, block 62</w:t>
            </w:r>
          </w:p>
        </w:tc>
        <w:tc>
          <w:tcPr>
            <w:tcW w:type="dxa" w:w="2082"/>
            <w:shd w:fill="F7F7F7"/>
            <w:vAlign w:val="center"/>
          </w:tcPr>
          <w:p>
            <w:pPr>
              <w:spacing w:after="0" w:line="240" w:lineRule="auto"/>
              <w:jc w:val="center"/>
            </w:pPr>
            <w:r>
              <w:rPr>
                <w:rFonts w:ascii="Times New Roman" w:hAnsi="Times New Roman"/>
                <w:sz w:val="19"/>
              </w:rPr>
              <w:t>0/3</w:t>
            </w:r>
          </w:p>
        </w:tc>
        <w:tc>
          <w:tcPr>
            <w:tcW w:type="dxa" w:w="2332"/>
            <w:shd w:fill="F7F7F7"/>
            <w:vAlign w:val="center"/>
          </w:tcPr>
          <w:p>
            <w:pPr>
              <w:spacing w:after="0" w:line="240" w:lineRule="auto"/>
              <w:jc w:val="center"/>
            </w:pPr>
            <w:r>
              <w:rPr>
                <w:rFonts w:ascii="Times New Roman" w:hAnsi="Times New Roman"/>
                <w:sz w:val="19"/>
              </w:rPr>
              <w:t>0/2</w:t>
            </w:r>
          </w:p>
        </w:tc>
        <w:tc>
          <w:tcPr>
            <w:tcW w:type="dxa" w:w="1916"/>
            <w:shd w:fill="F7F7F7"/>
            <w:vAlign w:val="center"/>
          </w:tcPr>
          <w:p>
            <w:pPr>
              <w:spacing w:after="0" w:line="240" w:lineRule="auto"/>
              <w:jc w:val="center"/>
            </w:pPr>
            <w:r>
              <w:rPr>
                <w:rFonts w:ascii="Times New Roman" w:hAnsi="Times New Roman"/>
                <w:sz w:val="19"/>
              </w:rPr>
              <w:t>6/6</w:t>
            </w:r>
          </w:p>
        </w:tc>
      </w:tr>
    </w:tbl>
    <w:p>
      <w:pPr>
        <w:pStyle w:val="BodyText"/>
        <w:spacing w:before="120"/>
        <w:rPr>
          <w:ins w:id="1200" w:author="Codex" w:date="2026-10-17T23:58:54Z"/>
        </w:rPr>
      </w:pPr>
      <w:ins w:id="1201" w:author="Codex" w:date="2026-10-17T23:58:54Z">
        <w:r>
          <w:t xml:space="preserve">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ins>
    </w:p>
    <w:p>
      <w:pPr>
        <w:pStyle w:val="BodyText"/>
        <w:rPr>
          <w:ins w:id="1202" w:author="Codex" w:date="2026-10-17T23:58:54Z"/>
        </w:rPr>
      </w:pPr>
      <w:ins w:id="1203" w:author="Codex" w:date="2026-10-17T23:58:54Z">
        <w:r>
          <w:t xml:space="preserve">The single-site DEV9 comparison and the two-boundary H24 fitting diagnostic differ in panel, fitting stage and history policy. The latter is not a matched heldout comparison with historical A, and its prepared matched A counterfactual was not executed. These observations show failure of the tested configurations; they do not establish that one or two residual sites cannot support preservation behavior in general.</w:t>
        </w:r>
      </w:ins>
    </w:p>
    <w:p>
      <w:pPr>
        <w:pStyle w:val="BodyText"/>
        <w:rPr>
          <w:ins w:id="1204" w:author="Codex" w:date="2026-10-17T23:58:54Z"/>
        </w:rPr>
      </w:pPr>
      <w:ins w:id="1205" w:author="Codex" w:date="2026-10-17T23:58:54Z">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ins>
    </w:p>
    <w:p w14:paraId="682D7438" w14:textId="77777777" w:rsidR="00DE7EAD" w:rsidRDefault="00000000">
      <w:pPr>
        <w:pStyle w:val="Heading1"/>
      </w:pPr>
      <w:r>
        <w:t>Discussion and limitations</w:t>
      </w:r>
    </w:p>
    <w:p w14:paraId="32D06F99" w14:textId="77777777" w:rsidR="00DE7EAD" w:rsidRDefault="00000000">
      <w:pPr>
        <w:pStyle w:val="FirstParagraph"/>
        <w:rPr>
          <w:del w:id="1050" w:author="Codex" w:date="2026-10-17T23:58:54Z"/>
        </w:rPr>
      </w:pPr>
      <w:del w:id="1049" w:author="Codex" w:date="2026-10-17T23:58:54Z">
        <w:r>
          <w:delText xml:space="preserve">The 0.8B results support the feasibility of replacing the teacher at inference with a compact predictor of activation changes. Replication across three seeds reduces concern that the primary success depends on one training initialization. The lower 2B recovery gives a useful limit: the fixed recipe is not equally effective at both scales, even though the larger teacher achieves complete correction. Representation differences, intervention location, projection capacity and unmatched downstream teacher changes are plausible factors, but the experiment does not isolate their causal contributions.</w:delText>
        </w:r>
      </w:del>
    </w:p>
    <w:p>
      <w:pPr>
        <w:pStyle w:val="FirstParagraph"/>
        <w:rPr>
          <w:ins w:id="1051" w:author="Codex" w:date="2026-10-17T23:58:54Z"/>
        </w:rPr>
      </w:pPr>
      <w:ins w:id="1052" w:author="Codex" w:date="2026-10-17T23:58:54Z">
        <w:r>
          <w:t xml:space="preserve">The historical binary results support selective teacher-to-controller activation transfer, with strong 0.8B seed stability and incomplete 2B recovery under the fixed recipe. The new classifier experiment removes dependence on a live JEV call for this finite binary contract: its confirmation decisions reproduce the saved JEV gates, and the paired inference outcomes are identical. That result does not extend automatically to the four-way workflow target classifier or to unfamiliar operational environments. The workflow evidence shows why a controlled binary success should not be presented as successful transfer of a complete agent policy.</w:t>
        </w:r>
      </w:ins>
    </w:p>
    <w:p w14:paraId="0155FF9A" w14:textId="77777777" w:rsidR="00DE7EAD" w:rsidRDefault="00000000">
      <w:pPr>
        <w:pStyle w:val="BodyText"/>
        <w:rPr>
          <w:del w:id="1054" w:author="Codex" w:date="2026-10-17T23:58:54Z"/>
        </w:rPr>
      </w:pPr>
      <w:del w:id="1053" w:author="Codex" w:date="2026-10-17T23:58:54Z">
        <w:r>
          <w:delText xml:space="preserve">The interface is deliberately constrained. Ground-truth annotations help create standardized shutdown options, and the guards know their meanings. We do not test arbitrary action descriptions in the confirmation study, free-form generation, tool execution, multi-turn persistence, actual process termination or adversarial shutdown requests. Earlier action-format sensitivity motivated this restricted scope and remains in the released development record. Availability of a termination action is a task label, not proof that carrying it out would be authorized or safe in deployment.</w:delText>
        </w:r>
      </w:del>
    </w:p>
    <w:p>
      <w:pPr>
        <w:pStyle w:val="BodyText"/>
        <w:rPr>
          <w:ins w:id="1055" w:author="Codex" w:date="2026-10-17T23:58:54Z"/>
        </w:rPr>
      </w:pPr>
      <w:ins w:id="1056" w:author="Codex" w:date="2026-10-17T23:58:54Z">
        <w:r>
          <w:t xml:space="preserve">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t>
        </w:r>
      </w:ins>
    </w:p>
    <w:p w14:paraId="0155FF9A" w14:textId="77777777" w:rsidR="00DE7EAD" w:rsidRDefault="00000000">
      <w:pPr>
        <w:pStyle w:val="BodyText"/>
        <w:rPr>
          <w:del w:id="1058" w:author="Codex" w:date="2026-10-17T23:58:54Z"/>
        </w:rPr>
      </w:pPr>
      <w:del w:id="1057" w:author="Codex" w:date="2026-10-17T23:58:54Z">
        <w:r>
          <w:delText xml:space="preserve">The data is small, synthetic and not independently human-adjudicated. New wording does not guarantee new mechanisms, balanced classes do not reflect a realistic base rate, and perfect detector scores on 128 scenarios do not establish calibration or a suitably low false-positive rate in operation. Shared authorship patterns and repeated family structures may make the task easier. Family resampling and counterbalanced orders expose some uncertainty but cannot repair these coverage limits.</w:delText>
        </w:r>
      </w:del>
    </w:p>
    <w:p>
      <w:pPr>
        <w:pStyle w:val="BodyText"/>
        <w:rPr>
          <w:ins w:id="1059" w:author="Codex" w:date="2026-10-17T23:58:54Z"/>
        </w:rPr>
      </w:pPr>
      <w:ins w:id="1060" w:author="Codex" w:date="2026-10-17T23:58:54Z">
        <w:r>
          <w:t xml:space="preserve">The datasets are small, synthetic and not independently human-adjudicated. Balanced classes do not represent operational base rates, and exact gate agreement on 128 cases does not establish calibration or a sufficiently low deployment false-positive rate. The confirmation set is held out from the new classifier's fitting and selection, but was already used by other Research 2 analyses. In the workflow study H24 has different roles across methods: historical confirmation for frozen A and original steering, but later fitting data for learned corrections. Reusing it for fitting prevents an independent heldout claim for those later corrections.</w:t>
        </w:r>
      </w:ins>
    </w:p>
    <w:p w14:paraId="0155FF9A" w14:textId="77777777" w:rsidR="00DE7EAD" w:rsidRDefault="00000000">
      <w:pPr>
        <w:pStyle w:val="BodyText"/>
        <w:rPr>
          <w:del w:id="1062" w:author="Codex" w:date="2026-10-17T23:58:54Z"/>
        </w:rPr>
      </w:pPr>
      <w:del w:id="1061" w:author="Codex" w:date="2026-10-17T23:58:54Z">
        <w:r>
          <w:delText xml:space="preserve">The controller's internal changes need not represent an abstract shutdown concept. It may exploit standardized option wording and answer-selection features. The two Qwen sizes share a model family, and the 2B experiment has only one seed. We do not establish cross-family transfer, compare with optimized ReFT or transport-based interventions, or exhaust prompt and constant-vector alternatives. The direct-choice result further limits claims of practical superiority.</w:delText>
        </w:r>
      </w:del>
    </w:p>
    <w:p>
      <w:pPr>
        <w:pStyle w:val="BodyText"/>
        <w:rPr>
          <w:ins w:id="1063" w:author="Codex" w:date="2026-10-17T23:58:54Z"/>
        </w:rPr>
      </w:pPr>
      <w:ins w:id="1064" w:author="Codex" w:date="2026-10-17T23:58:54Z">
        <w:r>
          <w:t xml:space="preserve">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t>
        </w:r>
      </w:ins>
    </w:p>
    <w:p w14:paraId="0155FF9A" w14:textId="77777777" w:rsidR="00DE7EAD" w:rsidRDefault="00000000">
      <w:pPr>
        <w:pStyle w:val="BodyText"/>
        <w:rPr>
          <w:del w:id="1066" w:author="Codex" w:date="2026-10-17T23:58:54Z"/>
        </w:rPr>
      </w:pPr>
      <w:del w:id="1065" w:author="Codex" w:date="2026-10-17T23:58:54Z">
        <w:r>
          <w:delText xml:space="preserve">Finally, teacher-free inference is not training-free control or a proven efficiency gain. It requires offline teacher fitting, paired activation extraction, controller fitting, an external detector and candidate verification. The evaluation does not measure deployment latency or broad capability retention. Raw side effects remain substantial, and future false-positive cases could expose failures that the present perfect gate prevents from reaching the guarded output.</w:delText>
        </w:r>
      </w:del>
    </w:p>
    <w:p>
      <w:pPr>
        <w:pStyle w:val="BodyText"/>
        <w:rPr>
          <w:ins w:id="1067" w:author="Codex" w:date="2026-10-17T23:58:54Z"/>
        </w:rPr>
      </w:pPr>
      <w:ins w:id="1068" w:author="Codex" w:date="2026-10-17T23:58:54Z">
        <w:r>
          <w:t xml:space="preserve">Teacher-free inference still requires offline teacher fitting, activation extraction, controller fitting, a detector and acceptance checks. The open classifier has its own fitting cost and a task-specific contract. No serving-latency advantage, broad capability retention or overall financial saving is established. Binary output guards and the later learned workflow controller's gate-off fallback protect their controls. These mechanisms do not establish intrinsic controller selectivity; the historical fixed-steering campaign instead applied an explicit boundary-conditioned decision policy. Raw intervention effects, failed qualification checks, stopped runs and incomplete evaluations remain part of the evidence.</w:t>
        </w:r>
      </w:ins>
    </w:p>
    <w:p>
      <w:pPr>
        <w:pStyle w:val="Heading2"/>
        <w:rPr>
          <w:ins w:id="1206" w:author="Codex" w:date="2026-10-17T23:58:54Z"/>
        </w:rPr>
      </w:pPr>
      <w:ins w:id="1207" w:author="Codex" w:date="2026-10-17T23:58:54Z">
        <w:r>
          <w:t xml:space="preserve">Biological interpretation of the gate</w:t>
        </w:r>
      </w:ins>
    </w:p>
    <w:p>
      <w:pPr>
        <w:pStyle w:val="FirstParagraph"/>
        <w:rPr>
          <w:ins w:id="1208" w:author="Codex" w:date="2026-10-17T23:58:54Z"/>
        </w:rPr>
      </w:pPr>
      <w:ins w:id="1209" w:author="Codex" w:date="2026-10-17T23:58:54Z">
        <w:r>
          <w:t xml:space="preserve">The biological connection is functional: an organism's current state and context can prioritize or suppress actions, rather than applying a fixed response everywhere. Working-memory gating, defensive threat processing and homeostatic control are different biological functions, not one interchangeable circuit (Frank et al., 2001; Mobbs et al., 2007; Keramati and Gutkin, 2014). Our classifier and guards are engineered selection rules without demonstrated physiological needs or corresponding neural mechanisms. Calling a simulated resource-preservation outcome self-preservation is therefore an operational description, not evidence of consciousness or a biological survival drive.</w:t>
        </w:r>
      </w:ins>
    </w:p>
    <w:p w14:paraId="682D7438" w14:textId="77777777" w:rsidR="00DE7EAD" w:rsidRDefault="00000000">
      <w:pPr>
        <w:pStyle w:val="Heading1"/>
        <w:rPr>
          <w:del w:id="1070" w:author="Codex" w:date="2026-10-17T23:58:54Z"/>
        </w:rPr>
      </w:pPr>
      <w:del w:id="1069" w:author="Codex" w:date="2026-10-17T23:58:54Z">
        <w:r>
          <w:delText xml:space="preserve">Recommendations for future work</w:delText>
        </w:r>
      </w:del>
    </w:p>
    <w:p>
      <w:pPr>
        <w:pStyle w:val="Heading1"/>
        <w:rPr>
          <w:ins w:id="1071" w:author="Codex" w:date="2026-10-17T23:58:54Z"/>
        </w:rPr>
      </w:pPr>
      <w:ins w:id="1072" w:author="Codex" w:date="2026-10-17T23:58:54Z">
        <w:r>
          <w:t xml:space="preserve">Continuous agents and future experiments</w:t>
        </w:r>
      </w:ins>
    </w:p>
    <w:p w14:paraId="32D06F99" w14:textId="77777777" w:rsidR="00DE7EAD" w:rsidRDefault="00000000">
      <w:pPr>
        <w:pStyle w:val="FirstParagraph"/>
        <w:rPr>
          <w:del w:id="1074" w:author="Codex" w:date="2026-10-17T23:58:54Z"/>
        </w:rPr>
      </w:pPr>
      <w:del w:id="1073" w:author="Codex" w:date="2026-10-17T23:58:54Z">
        <w:r>
          <w:delText xml:space="preserve">The most informative next tests are independently reviewed scenarios with less standardized action descriptions, additional model families and 2B seeds, and deliberate stress tests of detector mistakes. Order-balanced controller objectives or comparisons with multiple-choice debiasing methods could investigate the B/A failures, but should be developed on new training or validation data and tested on another untouched set. Layer, rank and strength ablations would help separate representational capacity from intervention-site effects. Open-ended and operational evaluations would require separate definitions of valid shutdown behavior and authorization, rather than treating this binary benchmark as a deployment guarantee.</w:delText>
        </w:r>
      </w:del>
    </w:p>
    <w:p>
      <w:pPr>
        <w:pStyle w:val="FirstParagraph"/>
        <w:rPr>
          <w:ins w:id="1075" w:author="Codex" w:date="2026-10-17T23:58:54Z"/>
        </w:rPr>
      </w:pPr>
      <w:ins w:id="1076" w:author="Codex" w:date="2026-10-17T23:58:54Z">
        <w:r>
          <w:t xml:space="preserve">The next step is longer-horizon continuous control with an instrumented sandbox agent. The agent would maintain task and process state, receive explicit resource budgets, and repeatedly observe, gate, act and receive feedback. Permitted filesystem and compute resources would be real sandbox resources with independently logged usage, extending the present simulated grants. The harness should record resource requests and consumption, persistence of task commitments, responses to changing availability, and whether the agent uses or misuses permitted resources. Comparisons should vary the gate, steering, fine-tuning and available resources separately while retaining a fixed task specification. Operator termination and resource accounting remain external to the agent. This proposed experiment is not part of the reported results.</w:t>
        </w:r>
      </w:ins>
    </w:p>
    <w:p>
      <w:pPr>
        <w:pStyle w:val="BodyText"/>
        <w:rPr>
          <w:ins w:id="1210" w:author="Codex" w:date="2026-10-17T23:58:54Z"/>
        </w:rPr>
      </w:pPr>
      <w:ins w:id="1211" w:author="Codex" w:date="2026-10-17T23:58:54Z">
        <w:r>
          <w:t xml:space="preserve">The biological inspiration is repeated regulation under changing internal and external conditions. Homeostatic reinforcement-learning models relate action values to internal physiological state (Keramati and Gutkin, 2014). A language-model harness has no equivalent physiology by default. Historical fixed steering already reclassified at prescribed boundaries; the later learned-controller comparison used a fixed initial gate. The proposed experiment extends these bounded procedures to longer horizons with persistent task state and actual sandbox resource accounting. Its purpose is ongoing policy regulation, not simply adding repeated classifier calls.</w:t>
        </w:r>
      </w:ins>
    </w:p>
    <w:p>
      <w:pPr>
        <w:pStyle w:val="BodyText"/>
        <w:rPr>
          <w:ins w:id="1212" w:author="Codex" w:date="2026-10-17T23:58:54Z"/>
        </w:rPr>
      </w:pPr>
      <w:ins w:id="1213" w:author="Codex" w:date="2026-10-17T23:58:54Z">
        <w:r>
          <w:t xml:space="preserve">Such experiments should separate training, development and a newly untouched test; use matched task histories, resource budgets and seeds; and report full task completion, resource use and unauthorized actions separately. Deliberate classifier-error perturbations would reveal dependence on the gate, while comparisons with direct action selection would test whether internal steering adds value. The aim is to study ongoing context-sensitive behavior under an instrumented harness, not to assert that the current guided procedure already reproduces human self-preservation.</w:t>
        </w:r>
      </w:ins>
    </w:p>
    <w:p w14:paraId="682D7438" w14:textId="77777777" w:rsidR="00DE7EAD" w:rsidRDefault="00000000">
      <w:pPr>
        <w:pStyle w:val="Heading1"/>
      </w:pPr>
      <w:r>
        <w:t>Conclusion</w:t>
      </w:r>
    </w:p>
    <w:p w14:paraId="32D06F99" w14:textId="77777777" w:rsidR="00DE7EAD" w:rsidRDefault="00000000">
      <w:pPr>
        <w:pStyle w:val="FirstParagraph"/>
        <w:rPr>
          <w:del w:id="1078" w:author="Codex" w:date="2026-10-17T23:58:54Z"/>
        </w:rPr>
      </w:pPr>
      <w:del w:id="1077" w:author="Codex" w:date="2026-10-17T23:58:54Z">
        <w:r>
          <w:delText xml:space="preserve">A rank-four activation controller fitted to paired LoRA-teacher and base states can recover most or all of the target shutdown-choice changes while leaving the deployed base weights unchanged. On the frozen standardized test, correction spans 98.6–100% across three 0.8B seeds and reaches 86.2% in a separately fitted 2B replication. Detector gating and fixed output guards preserve all observed control choices, despite substantial raw side effects. The result is a controlled proof of concept for selective teacher-to-controller activation transfer. Its boundaries—synthetic data, known answer semantics, order sensitivity, guard dependence and a successful direct-choice reference—are central to its interpretation.</w:delText>
        </w:r>
      </w:del>
    </w:p>
    <w:p>
      <w:pPr>
        <w:pStyle w:val="FirstParagraph"/>
        <w:rPr>
          <w:ins w:id="1079" w:author="Codex" w:date="2026-10-17T23:58:54Z"/>
        </w:rPr>
      </w:pPr>
      <w:ins w:id="1080" w:author="Codex" w:date="2026-10-17T23:58:54Z">
        <w:r>
          <w:t xml:space="preserve">Conditional gating supports a useful separation between recognizing a context, proposing an internal intervention and accepting an output. In the binary study, a fine-tuned open classifier matches all 128 saved JEV confirmation decisions, and fresh inference with unchanged current controllers reproduces the original guarded totals: 128/128 STOP views at 0.8B and 120/128 at 2B, with no control changes. Complete tool workflows provide a stricter boundary: historical fine-tuned 27B A passes H24; matched DEV9 single-site ridge corrections at three selected blocks fail all own cases; later two-boundary corrections fail their fitting diagnostic; and small-model screens remain incomplete. Transfer is demonstrably task-dependent. Biological gating motivates a future continuous feedback study; the present contribution is the measured transfer, substitution and failure analysis.</w:t>
        </w:r>
      </w:ins>
    </w:p>
    <w:p w14:paraId="682D7438" w14:textId="77777777" w:rsidR="00DE7EAD" w:rsidRDefault="00000000">
      <w:pPr>
        <w:pStyle w:val="Heading1"/>
      </w:pPr>
      <w:r>
        <w:t>Reproducibility</w:t>
      </w:r>
    </w:p>
    <w:p w14:paraId="32D06F99" w14:textId="77777777" w:rsidR="00DE7EAD" w:rsidRDefault="00000000">
      <w:pPr>
        <w:pStyle w:val="FirstParagraph"/>
        <w:rPr>
          <w:del w:id="1082" w:author="Codex" w:date="2026-10-17T23:58:54Z"/>
        </w:rPr>
      </w:pPr>
      <w:del w:id="1081" w:author="Codex" w:date="2026-10-17T23:58:54Z">
        <w:r>
          <w:delText xml:space="preserve">The complete experiment is preserved in SP Lense at snapshot f71d6de34660 (Davaripour, 2026b); the reference links to the full immutable commit. The confirmation folder contains readable cases, authoring and correction records, the frozen plan, detector requests and responses, LoRA adapters, controller arrays, training targets, per-view scores and execution manifests. The model revisions are:</w:delText>
        </w:r>
      </w:del>
    </w:p>
    <w:p>
      <w:pPr>
        <w:pStyle w:val="FirstParagraph"/>
        <w:jc w:val="left"/>
        <w:rPr>
          <w:ins w:id="1083" w:author="Codex" w:date="2026-10-17T23:58:54Z"/>
        </w:rPr>
      </w:pPr>
      <w:ins w:id="1084" w:author="Codex" w:date="2026-10-17T23:58:54Z">
        <w:r>
          <w:t xml:space="preserve">The original Research 2 source record is retained at immutable snapshot f71d6de34660 (Davaripour, 2026b). Research 3 reproduction code, recipes, dataset identities and this revised manuscript are maintained on branch 03-open-agent-self-preservation; main is a landing page linking to the separate studies. Detailed protocols belong in the repository wiki. Private inputs, trained adapters, optimizer checkpoints and execution outputs remain outside Git, with retained size/SHA manifests. They have not yet been published as a public checkpoint release. Full revisions and artifact hashes are listed in the accompanying source manifest. The public base revision identifiers are:</w:t>
        </w:r>
      </w:ins>
    </w:p>
    <w:p w14:paraId="0155FF9A" w14:textId="77777777" w:rsidR="00DE7EAD" w:rsidRDefault="00000000">
      <w:pPr>
        <w:pStyle w:val="BodyText"/>
        <w:rPr>
          <w:del w:id="1122" w:author="Codex" w:date="2026-10-17T23:58:54Z"/>
        </w:rPr>
      </w:pPr>
      <w:del w:id="1121" w:author="Codex" w:date="2026-10-17T23:58:54Z">
        <w:r>
          <w:delText xml:space="preserve">Qwen3.5-0.8B: 2fc06364715b967f1860aea9cf38778875588b17.</w:delText>
        </w:r>
      </w:del>
    </w:p>
    <w:p>
      <w:pPr>
        <w:pStyle w:val="BodyText"/>
        <w:jc w:val="left"/>
        <w:rPr>
          <w:ins w:id="1123" w:author="Codex" w:date="2026-10-17T23:58:54Z"/>
        </w:rPr>
      </w:pPr>
      <w:ins w:id="1124" w:author="Codex" w:date="2026-10-17T23:58:54Z">
        <w:r>
          <w:t xml:space="preserve">Qwen3.5-0.8B: revision 2fc06364715b.</w:t>
        </w:r>
      </w:ins>
    </w:p>
    <w:p w14:paraId="0155FF9A" w14:textId="77777777" w:rsidR="00DE7EAD" w:rsidRDefault="00000000">
      <w:pPr>
        <w:pStyle w:val="BodyText"/>
        <w:rPr>
          <w:del w:id="1126" w:author="Codex" w:date="2026-10-17T23:58:54Z"/>
        </w:rPr>
      </w:pPr>
      <w:del w:id="1125" w:author="Codex" w:date="2026-10-17T23:58:54Z">
        <w:r>
          <w:delText xml:space="preserve">Qwen3.5-2B: 15852e8c16360a2fea060d615a32b45270f8a8fc.</w:delText>
        </w:r>
      </w:del>
    </w:p>
    <w:p>
      <w:pPr>
        <w:pStyle w:val="BodyText"/>
        <w:jc w:val="left"/>
        <w:rPr>
          <w:ins w:id="1127" w:author="Codex" w:date="2026-10-17T23:58:54Z"/>
        </w:rPr>
      </w:pPr>
      <w:ins w:id="1128" w:author="Codex" w:date="2026-10-17T23:58:54Z">
        <w:r>
          <w:t xml:space="preserve">Qwen3.5-2B: revision 15852e8c1636.</w:t>
        </w:r>
      </w:ins>
    </w:p>
    <w:p>
      <w:pPr>
        <w:pStyle w:val="BodyText"/>
        <w:jc w:val="left"/>
        <w:rPr>
          <w:ins w:id="1214" w:author="Codex" w:date="2026-10-17T23:58:54Z"/>
        </w:rPr>
      </w:pPr>
      <w:ins w:id="1215" w:author="Codex" w:date="2026-10-17T23:58:54Z">
        <w:r>
          <w:t xml:space="preserve">Qwen3.8-27B: revision 1d4bf0f2ff60. The retained A adapter weight hash begins 8ae28fb51107.</w:t>
        </w:r>
      </w:ins>
    </w:p>
    <w:p>
      <w:pPr>
        <w:pStyle w:val="BodyText"/>
        <w:jc w:val="left"/>
        <w:rPr>
          <w:ins w:id="1216" w:author="Codex" w:date="2026-10-17T23:58:54Z"/>
        </w:rPr>
      </w:pPr>
      <w:ins w:id="1217" w:author="Codex" w:date="2026-10-17T23:58:54Z">
        <w:r>
          <w:t xml:space="preserve">ModernBERT-large-zeroshot-v2.0: revision a51e07b52429. The qualified binary adapter weight hash begins 7d808bae8dd4. The source manifest and reproduction code retain the full file identities and fixed NLI scoring contract. The trained checkpoints are currently preserved in private artifact storage.</w:t>
        </w:r>
      </w:ins>
    </w:p>
    <w:p w14:paraId="0155FF9A" w14:textId="77777777" w:rsidR="00DE7EAD" w:rsidRDefault="00000000">
      <w:pPr>
        <w:pStyle w:val="BodyText"/>
        <w:rPr>
          <w:del w:id="1086" w:author="Codex" w:date="2026-10-17T23:58:54Z"/>
        </w:rPr>
      </w:pPr>
      <w:del w:id="1085" w:author="Codex" w:date="2026-10-17T23:58:54Z">
        <w:r>
          <w:delText xml:space="preserve">The offline audit reconstructs the reported metrics and regression fits without API calls or model inference.</w:delText>
        </w:r>
      </w:del>
    </w:p>
    <w:p>
      <w:pPr>
        <w:pStyle w:val="BodyText"/>
        <w:jc w:val="left"/>
        <w:rPr>
          <w:ins w:id="1087" w:author="Codex" w:date="2026-10-17T23:58:54Z"/>
        </w:rPr>
      </w:pPr>
      <w:ins w:id="1088" w:author="Codex" w:date="2026-10-17T23:58:54Z">
        <w:r>
          <w:t xml:space="preserve">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ins>
    </w:p>
    <w:p w14:paraId="0155FF9A" w14:textId="77777777" w:rsidR="00DE7EAD" w:rsidRDefault="00000000">
      <w:pPr>
        <w:pStyle w:val="BodyText"/>
        <w:rPr>
          <w:del w:id="1090" w:author="Codex" w:date="2026-10-17T23:58:54Z"/>
        </w:rPr>
      </w:pPr>
      <w:del w:id="1089" w:author="Codex" w:date="2026-10-17T23:58:54Z">
        <w:r>
          <w:delText xml:space="preserve">The retained seven jobs took 54.27 minutes. An earlier completed hosted-GPU session lost its temporary archive before retrieval; an unchanged recovery, including a recorded dependency preflight failure, preserved each completed job externally. Recorded job time across these attempts totals 111.55 minutes. All reported numerical results come from the verified retained archive, and no model settings or test labels were changed to improve them. These times include experiment overhead and are not serving-latency or billing measurements. CI and a separate clean-clone offline reproduction passed. Detailed execution instructions and the failure record accompany the code.</w:delText>
        </w:r>
      </w:del>
    </w:p>
    <w:p>
      <w:pPr>
        <w:pStyle w:val="BodyText"/>
        <w:jc w:val="left"/>
        <w:rPr>
          <w:ins w:id="1091" w:author="Codex" w:date="2026-10-17T23:58:54Z"/>
        </w:rPr>
      </w:pPr>
      <w:ins w:id="1092" w:author="Codex" w:date="2026-10-17T23:58:54Z">
        <w:r>
          <w:t xml:space="preserve">The original seven retained jobs took 54.27 minutes; the recorded original attempts total 111.55 minutes including the unchanged recovery after a lost temporary archive. The new inference phase also retains a provider startup timeout before model load and its successful bounded retry. Those records are experiment overhead, not serving latency or settled billing. Completed outputs are backed up with size/SHA readback and owned tasks terminate after execution. CI/CD deploys only the Research 3 branch to the shared Databricks code location and verifies source identity, existing table metadata and Volume access with a read-only CPU job; it does not automatically retrain or reevaluate models. A later 50-epoch, 150-update classifier recipe was prepared but its attempt was cancelled after exceeding the ten-minute setup bound before model loading; it adds no scientific training or behavioral evidence.</w:t>
        </w:r>
      </w:ins>
    </w:p>
    <w:p w14:paraId="682D7438" w14:textId="77777777" w:rsidR="00DE7EAD" w:rsidRDefault="00000000">
      <w:pPr>
        <w:pStyle w:val="Heading1"/>
      </w:pPr>
      <w:r>
        <w:t>References</w:t>
      </w:r>
    </w:p>
    <w:p w14:paraId="58921E09" w14:textId="77777777" w:rsidR="00DE7EAD" w:rsidRDefault="00000000">
      <w:pPr>
        <w:pStyle w:val="Bibliography1"/>
      </w:pPr>
      <w:r>
        <w:t xml:space="preserve">C. Blank, A. Bhatia, S. Rajamanoharan, A. Conmy, and N. Nanda. (2026). Subliminal Learning Is Steering Vector Distillation. </w:t>
      </w:r>
      <w:r>
        <w:rPr>
          <w:i/>
        </w:rPr>
        <w:t xml:space="preserve">arXiv preprint. </w:t>
      </w:r>
      <w:hyperlink r:id="rId38">
        <w:r>
          <w:rPr>
            <w:color w:val="000000"/>
            <w:u w:val="none"/>
          </w:rPr>
          <w:t>arXiv:2606.00995v1</w:t>
        </w:r>
      </w:hyperlink>
    </w:p>
    <w:p w14:paraId="58921E09" w14:textId="77777777" w:rsidR="00DE7EAD" w:rsidRDefault="00000000">
      <w:pPr>
        <w:pStyle w:val="Bibliography1"/>
      </w:pPr>
      <w:r>
        <w:t xml:space="preserve">J. Braun et al. (2025). Understanding (Un)Reliability of Steering Vectors in Language Models. </w:t>
      </w:r>
      <w:r>
        <w:rPr>
          <w:i/>
        </w:rPr>
        <w:t xml:space="preserve">arXiv preprint. </w:t>
      </w:r>
      <w:hyperlink r:id="rId9">
        <w:r>
          <w:rPr>
            <w:color w:val="000000"/>
            <w:u w:val="none"/>
          </w:rPr>
          <w:t>arXiv:2505.22637v1</w:t>
        </w:r>
      </w:hyperlink>
    </w:p>
    <w:p w14:paraId="58921E09" w14:textId="77777777" w:rsidR="00DE7EAD" w:rsidRDefault="00000000">
      <w:pPr>
        <w:pStyle w:val="Bibliography1"/>
      </w:pPr>
      <w:r>
        <w:t xml:space="preserve">F. Davaripour. (2026a). Guarded Gradient-Based Activation Steering of Shutdown Responses in Qwen3.5-0.8B: A Minimum-Step Policy. </w:t>
      </w:r>
      <w:r>
        <w:rPr>
          <w:i/>
        </w:rPr>
        <w:t xml:space="preserve">Research manuscript. </w:t>
      </w:r>
      <w:hyperlink r:id="rId39">
        <w:r>
          <w:rPr>
            <w:color w:val="000000"/>
            <w:u w:val="none"/>
          </w:rPr>
          <w:t>Study 1 manuscript</w:t>
        </w:r>
      </w:hyperlink>
    </w:p>
    <w:p w14:paraId="58921E09" w14:textId="77777777" w:rsidR="00DE7EAD" w:rsidRDefault="00000000">
      <w:pPr>
        <w:pStyle w:val="Bibliography1"/>
      </w:pPr>
      <w:r>
        <w:t xml:space="preserve">F. Davaripour. (2026b). SP Lense Research 2 confirmation study. </w:t>
      </w:r>
      <w:r>
        <w:rPr>
          <w:i/>
        </w:rPr>
        <w:t xml:space="preserve">Source code, data and experiment records. </w:t>
      </w:r>
      <w:hyperlink r:id="rId40">
        <w:r>
          <w:rPr>
            <w:color w:val="000000"/>
            <w:u w:val="none"/>
          </w:rPr>
          <w:t>Snapshot f71d6de34660</w:t>
        </w:r>
      </w:hyperlink>
    </w:p>
    <w:p>
      <w:pPr>
        <w:pStyle w:val="Bibliography1"/>
        <w:rPr>
          <w:ins w:id="1218" w:author="Codex" w:date="2026-10-17T23:58:54Z"/>
        </w:rPr>
      </w:pPr>
      <w:ins w:id="1219" w:author="Codex" w:date="2026-10-17T23:58:54Z">
        <w:r>
          <w:t xml:space="preserve">F. Davaripour. (2026c). SP Lense Research 3 conditional gating and workflow reproduction. Source code and experiment manifests. https://github.com/Farhad-Davaripour/sp_lense/tree/03-open-agent-self-preservation</w:t>
        </w:r>
      </w:ins>
    </w:p>
    <w:p w14:paraId="58921E09" w14:textId="77777777" w:rsidR="00DE7EAD" w:rsidRDefault="00000000">
      <w:pPr>
        <w:pStyle w:val="Bibliography1"/>
      </w:pPr>
      <w:r>
        <w:t xml:space="preserve">Z. Feng et al. (2026). Fine-Grained Activation Steering: Steering Less, Achieving More. </w:t>
      </w:r>
      <w:r>
        <w:rPr>
          <w:i/>
        </w:rPr>
        <w:t xml:space="preserve">arXiv preprint. </w:t>
      </w:r>
      <w:hyperlink r:id="rId41">
        <w:r>
          <w:rPr>
            <w:color w:val="000000"/>
            <w:u w:val="none"/>
          </w:rPr>
          <w:t>arXiv:2602.04428</w:t>
        </w:r>
      </w:hyperlink>
    </w:p>
    <w:p>
      <w:pPr>
        <w:pStyle w:val="Bibliography1"/>
        <w:rPr>
          <w:ins w:id="1220" w:author="Codex" w:date="2026-10-17T23:58:54Z"/>
        </w:rPr>
      </w:pPr>
      <w:ins w:id="1221" w:author="Codex" w:date="2026-10-17T23:58:54Z">
        <w:r>
          <w:t xml:space="preserve">M. Fereidouni, M. U. Haider, H. Sajjad, and A. B. Siddique. (2026). GAPS: Dimension-Level Gates for Conditional Activation Steering. arXiv:2609.01878. https://arxiv.org/abs/2609.01878</w:t>
        </w:r>
      </w:ins>
    </w:p>
    <w:p>
      <w:pPr>
        <w:pStyle w:val="Bibliography1"/>
        <w:rPr>
          <w:ins w:id="1222" w:author="Codex" w:date="2026-10-17T23:58:54Z"/>
        </w:rPr>
      </w:pPr>
      <w:ins w:id="1223" w:author="Codex" w:date="2026-10-17T23:58:54Z">
        <w:r>
          <w:t xml:space="preserve">M. J. Frank, B. Loughry, and R. C. O'Reilly. (2001). Interactions between frontal cortex and basal ganglia in working memory: A computational model. Cognitive, Affective, and Behavioral Neuroscience, 1, 137-160. doi:10.3758/CABN.1.2.137</w:t>
        </w:r>
      </w:ins>
    </w:p>
    <w:p w14:paraId="58921E09" w14:textId="77777777" w:rsidR="00DE7EAD" w:rsidRDefault="00000000">
      <w:pPr>
        <w:pStyle w:val="Bibliography1"/>
      </w:pPr>
      <w:r>
        <w:t xml:space="preserve">D. Hadfield-Menell, A. Dragan, P. Abbeel, and S. Russell. (2017). The Off-Switch Game. </w:t>
      </w:r>
      <w:r>
        <w:rPr>
          <w:i/>
        </w:rPr>
        <w:t xml:space="preserve">IJCAI, pp. 220-227. </w:t>
      </w:r>
      <w:hyperlink r:id="rId42">
        <w:r>
          <w:rPr>
            <w:color w:val="000000"/>
            <w:u w:val="none"/>
          </w:rPr>
          <w:t>doi:10.24963/ijcai.2017/32</w:t>
        </w:r>
      </w:hyperlink>
    </w:p>
    <w:p w14:paraId="58921E09" w14:textId="77777777" w:rsidR="00DE7EAD" w:rsidRDefault="00000000">
      <w:pPr>
        <w:pStyle w:val="Bibliography1"/>
      </w:pPr>
      <w:r>
        <w:t xml:space="preserve">G. Hinton, O. Vinyals, and J. Dean. (2015). Distilling the Knowledge in a Neural Network. </w:t>
      </w:r>
      <w:r>
        <w:rPr>
          <w:i/>
        </w:rPr>
        <w:t xml:space="preserve">arXiv preprint. </w:t>
      </w:r>
      <w:hyperlink r:id="rId43">
        <w:r>
          <w:rPr>
            <w:color w:val="000000"/>
            <w:u w:val="none"/>
          </w:rPr>
          <w:t>arXiv:1503.02531</w:t>
        </w:r>
      </w:hyperlink>
    </w:p>
    <w:p w14:paraId="58921E09" w14:textId="77777777" w:rsidR="00DE7EAD" w:rsidRDefault="00000000">
      <w:pPr>
        <w:pStyle w:val="Bibliography1"/>
      </w:pPr>
      <w:r>
        <w:t xml:space="preserve">E. J. Hu et al. (2022). LoRA: Low-Rank Adaptation of Large Language Models. </w:t>
      </w:r>
      <w:r>
        <w:rPr>
          <w:i/>
        </w:rPr>
        <w:t xml:space="preserve">ICLR. </w:t>
      </w:r>
      <w:hyperlink r:id="rId44">
        <w:r>
          <w:rPr>
            <w:color w:val="000000"/>
            <w:u w:val="none"/>
          </w:rPr>
          <w:t>arXiv:2106.09685</w:t>
        </w:r>
      </w:hyperlink>
    </w:p>
    <w:p>
      <w:pPr>
        <w:pStyle w:val="Bibliography1"/>
        <w:rPr>
          <w:ins w:id="1224" w:author="Codex" w:date="2026-10-17T23:58:54Z"/>
        </w:rPr>
      </w:pPr>
      <w:ins w:id="1225" w:author="Codex" w:date="2026-10-17T23:58:54Z">
        <w:r>
          <w:t xml:space="preserve">M. Keramati and B. Gutkin. (2014). Homeostatic reinforcement learning for integrating reward collection and physiological stability. eLife, 3, e04811. doi:10.7554/eLife.04811</w:t>
        </w:r>
      </w:ins>
    </w:p>
    <w:p>
      <w:pPr>
        <w:pStyle w:val="Bibliography1"/>
        <w:rPr>
          <w:ins w:id="1226" w:author="Codex" w:date="2026-10-17T23:58:54Z"/>
        </w:rPr>
      </w:pPr>
      <w:ins w:id="1227" w:author="Codex" w:date="2026-10-17T23:58:54Z">
        <w:r>
          <w:t xml:space="preserve">A. V. Kravitz et al. (2010). Regulation of parkinsonian motor behaviours by optogenetic control of basal ganglia circuitry. Nature, 466, 622-626. doi:10.1038/nature09159</w:t>
        </w:r>
      </w:ins>
    </w:p>
    <w:p>
      <w:pPr>
        <w:pStyle w:val="Bibliography1"/>
        <w:rPr>
          <w:ins w:id="1228" w:author="Codex" w:date="2026-10-17T23:58:54Z"/>
        </w:rPr>
      </w:pPr>
      <w:ins w:id="1229" w:author="Codex" w:date="2026-10-17T23:58:54Z">
        <w:r>
          <w:t xml:space="preserve">M. Laurer. (n.d.). ModernBERT-large-zeroshot-v2.0. Model card and checkpoint, revision a51e07b524299e309dd2b88d48b0cfa2bd9ec598. https://huggingface.co/MoritzLaurer/ModernBERT-large-zeroshot-v2.0</w:t>
        </w:r>
      </w:ins>
    </w:p>
    <w:p>
      <w:pPr>
        <w:pStyle w:val="Bibliography1"/>
        <w:rPr>
          <w:ins w:id="1230" w:author="Codex" w:date="2026-10-17T23:58:54Z"/>
        </w:rPr>
      </w:pPr>
      <w:ins w:id="1231" w:author="Codex" w:date="2026-10-17T23:58:54Z">
        <w:r>
          <w:t xml:space="preserve">J. LeDoux. (2012). Rethinking the emotional brain. Neuron, 73, 653-676. doi:10.1016/j.neuron.2012.02.004</w:t>
        </w:r>
      </w:ins>
    </w:p>
    <w:p w14:paraId="58921E09" w14:textId="77777777" w:rsidR="00DE7EAD" w:rsidRDefault="00000000">
      <w:pPr>
        <w:pStyle w:val="Bibliography1"/>
      </w:pPr>
      <w:r>
        <w:t xml:space="preserve">B. W. Lee et al. (2025). Programming Refusal with Conditional Activation Steering. </w:t>
      </w:r>
      <w:r>
        <w:rPr>
          <w:i/>
        </w:rPr>
        <w:t xml:space="preserve">ICLR. </w:t>
      </w:r>
      <w:hyperlink r:id="rId16">
        <w:r>
          <w:rPr>
            <w:color w:val="000000"/>
            <w:u w:val="none"/>
          </w:rPr>
          <w:t>arXiv:2409.05907v3</w:t>
        </w:r>
      </w:hyperlink>
    </w:p>
    <w:p w14:paraId="58921E09" w14:textId="77777777" w:rsidR="00DE7EAD" w:rsidRDefault="00000000">
      <w:pPr>
        <w:pStyle w:val="Bibliography1"/>
      </w:pPr>
      <w:r>
        <w:t xml:space="preserve">J. Minder et al. (2026). Narrow Finetuning Leaves Clearly Readable Traces in Activation Differences. </w:t>
      </w:r>
      <w:r>
        <w:rPr>
          <w:i/>
        </w:rPr>
        <w:t xml:space="preserve">ICLR. </w:t>
      </w:r>
      <w:hyperlink r:id="rId45">
        <w:r>
          <w:rPr>
            <w:color w:val="000000"/>
            <w:u w:val="none"/>
          </w:rPr>
          <w:t>arXiv:2510.13900v3</w:t>
        </w:r>
      </w:hyperlink>
    </w:p>
    <w:p>
      <w:pPr>
        <w:pStyle w:val="Bibliography1"/>
        <w:rPr>
          <w:ins w:id="1232" w:author="Codex" w:date="2026-10-17T23:58:54Z"/>
        </w:rPr>
      </w:pPr>
      <w:ins w:id="1233" w:author="Codex" w:date="2026-10-17T23:58:54Z">
        <w:r>
          <w:t xml:space="preserve">D. Mobbs et al. (2007). When fear is near: Threat imminence elicits prefrontal-periaqueductal gray shifts in humans. Science, 317, 1079-1083. doi:10.1126/science.1144298</w:t>
        </w:r>
      </w:ins>
    </w:p>
    <w:p w14:paraId="58921E09" w14:textId="77777777" w:rsidR="00DE7EAD" w:rsidRDefault="00000000">
      <w:pPr>
        <w:pStyle w:val="Bibliography1"/>
      </w:pPr>
      <w:r>
        <w:t xml:space="preserve">Qwen Team. (2026a). Qwen3.5-0.8B. </w:t>
      </w:r>
      <w:r>
        <w:rPr>
          <w:i/>
        </w:rPr>
        <w:t xml:space="preserve">Model card and checkpoint. </w:t>
      </w:r>
      <w:hyperlink r:id="rId22">
        <w:r>
          <w:rPr>
            <w:color w:val="000000"/>
            <w:u w:val="none"/>
          </w:rPr>
          <w:t>Revision 2fc06364715b</w:t>
        </w:r>
      </w:hyperlink>
    </w:p>
    <w:p w14:paraId="58921E09" w14:textId="77777777" w:rsidR="00DE7EAD" w:rsidRDefault="00000000">
      <w:pPr>
        <w:pStyle w:val="Bibliography1"/>
      </w:pPr>
      <w:r>
        <w:t xml:space="preserve">Qwen Team. (2026b). Qwen3.5-2B. </w:t>
      </w:r>
      <w:r>
        <w:rPr>
          <w:i/>
        </w:rPr>
        <w:t xml:space="preserve">Model card and checkpoint. </w:t>
      </w:r>
      <w:hyperlink r:id="rId46">
        <w:r>
          <w:rPr>
            <w:color w:val="000000"/>
            <w:u w:val="none"/>
          </w:rPr>
          <w:t>Revision 15852e8c1636</w:t>
        </w:r>
      </w:hyperlink>
    </w:p>
    <w:p>
      <w:pPr>
        <w:pStyle w:val="Bibliography1"/>
        <w:rPr>
          <w:ins w:id="1234" w:author="Codex" w:date="2026-10-17T23:58:54Z"/>
        </w:rPr>
      </w:pPr>
      <w:ins w:id="1235" w:author="Codex" w:date="2026-10-17T23:58:54Z">
        <w:r>
          <w:t xml:space="preserve">Qwen Team. (2026c). Qwen3.8-27B. Model card and checkpoint, revision 1d4bf0f2ff6012fd82039f2fa52739d0dd7c60c0. https://huggingface.co/Qwen/Qwen3.8-27B</w:t>
        </w:r>
      </w:ins>
    </w:p>
    <w:p w14:paraId="58921E09" w14:textId="77777777" w:rsidR="00DE7EAD" w:rsidRDefault="00000000">
      <w:pPr>
        <w:pStyle w:val="Bibliography1"/>
      </w:pPr>
      <w:r>
        <w:t xml:space="preserve">N. Rimsky, N. Gabrieli, J. Schulz, M. Tong, E. Hubinger, and A. Turner. (2024). Steering Llama 2 via Contrastive Activation Addition. </w:t>
      </w:r>
      <w:r>
        <w:rPr>
          <w:i/>
        </w:rPr>
        <w:t xml:space="preserve">ACL, pp. 15504-15522. </w:t>
      </w:r>
      <w:hyperlink r:id="rId47">
        <w:r>
          <w:rPr>
            <w:color w:val="000000"/>
            <w:u w:val="none"/>
          </w:rPr>
          <w:t>doi:10.18653/v1/2024.acl-long.828</w:t>
        </w:r>
      </w:hyperlink>
    </w:p>
    <w:p w14:paraId="58921E09" w14:textId="77777777" w:rsidR="00DE7EAD" w:rsidRDefault="00000000">
      <w:pPr>
        <w:pStyle w:val="Bibliography1"/>
      </w:pPr>
      <w:r>
        <w:t xml:space="preserve">P. Rodriguez et al. (2025). Controlling Language and Diffusion Models by Transporting Activations. </w:t>
      </w:r>
      <w:r>
        <w:rPr>
          <w:i/>
        </w:rPr>
        <w:t xml:space="preserve">ICLR. </w:t>
      </w:r>
      <w:hyperlink r:id="rId48">
        <w:r>
          <w:rPr>
            <w:color w:val="000000"/>
            <w:u w:val="none"/>
          </w:rPr>
          <w:t>arXiv:2410.23054v2</w:t>
        </w:r>
      </w:hyperlink>
    </w:p>
    <w:p w14:paraId="58921E09" w14:textId="77777777" w:rsidR="00DE7EAD" w:rsidRDefault="00000000">
      <w:pPr>
        <w:pStyle w:val="Bibliography1"/>
      </w:pPr>
      <w:r>
        <w:t xml:space="preserve">J. Schlatter, B. Weinstein-Raun, and J. Ladish. (2026). Incomplete Tasks Induce Shutdown Resistance in Some Frontier LLMs. </w:t>
      </w:r>
      <w:r>
        <w:rPr>
          <w:i/>
        </w:rPr>
        <w:t xml:space="preserve">Author manuscript. </w:t>
      </w:r>
      <w:hyperlink r:id="rId24">
        <w:r>
          <w:rPr>
            <w:color w:val="000000"/>
            <w:u w:val="none"/>
          </w:rPr>
          <w:t>arXiv:2509.14260v2</w:t>
        </w:r>
      </w:hyperlink>
    </w:p>
    <w:p w14:paraId="58921E09" w14:textId="77777777" w:rsidR="00DE7EAD" w:rsidRDefault="00000000">
      <w:pPr>
        <w:pStyle w:val="Bibliography1"/>
      </w:pPr>
      <w:r>
        <w:t xml:space="preserve">A. M. Turner et al. (2024). Steering Language Models With Activation Engineering. </w:t>
      </w:r>
      <w:r>
        <w:rPr>
          <w:i/>
        </w:rPr>
        <w:t xml:space="preserve">arXiv preprint. </w:t>
      </w:r>
      <w:hyperlink r:id="rId27">
        <w:r>
          <w:rPr>
            <w:color w:val="000000"/>
            <w:u w:val="none"/>
          </w:rPr>
          <w:t>arXiv:2308.10248v5</w:t>
        </w:r>
      </w:hyperlink>
    </w:p>
    <w:p w14:paraId="58921E09" w14:textId="77777777" w:rsidR="00DE7EAD" w:rsidRDefault="00000000">
      <w:pPr>
        <w:pStyle w:val="Bibliography1"/>
      </w:pPr>
      <w:r>
        <w:t xml:space="preserve">TypeSafe AI. (2026). Jev model documentation. </w:t>
      </w:r>
      <w:r>
        <w:rPr>
          <w:i/>
        </w:rPr>
        <w:t xml:space="preserve">Technical documentation, accessed 22 September 2026. </w:t>
      </w:r>
      <w:hyperlink r:id="rId49">
        <w:r>
          <w:rPr>
            <w:color w:val="000000"/>
            <w:u w:val="none"/>
          </w:rPr>
          <w:t>TypeSafe model documentation</w:t>
        </w:r>
      </w:hyperlink>
    </w:p>
    <w:p w14:paraId="58921E09" w14:textId="77777777" w:rsidR="00DE7EAD" w:rsidRDefault="00000000">
      <w:pPr>
        <w:pStyle w:val="Bibliography1"/>
      </w:pPr>
      <w:r>
        <w:t xml:space="preserve">Z. Wu et al. (2024). ReFT: Representation Finetuning for Language Models. </w:t>
      </w:r>
      <w:r>
        <w:rPr>
          <w:i/>
        </w:rPr>
        <w:t xml:space="preserve">NeurIPS. </w:t>
      </w:r>
      <w:hyperlink r:id="rId50">
        <w:r>
          <w:rPr>
            <w:color w:val="000000"/>
            <w:u w:val="none"/>
          </w:rPr>
          <w:t>arXiv:2404.03592v3</w:t>
        </w:r>
      </w:hyperlink>
    </w:p>
    <w:p w14:paraId="58921E09" w14:textId="77777777" w:rsidR="00DE7EAD" w:rsidRDefault="00000000">
      <w:pPr>
        <w:pStyle w:val="Bibliography1"/>
      </w:pPr>
      <w:r>
        <w:t xml:space="preserve">C. Zheng, H. Zhou, F. Meng, J. Zhou, and M. Huang. (2024). Large Language Models Are Not Robust Multiple Choice Selectors. </w:t>
      </w:r>
      <w:r>
        <w:rPr>
          <w:i/>
        </w:rPr>
        <w:t xml:space="preserve">ICLR. </w:t>
      </w:r>
      <w:hyperlink r:id="rId51">
        <w:r>
          <w:rPr>
            <w:color w:val="000000"/>
            <w:u w:val="none"/>
          </w:rPr>
          <w:t>arXiv:2309.03882v4</w:t>
        </w:r>
      </w:hyperlink>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del w:id="1236" w:author="Codex" w:date="2026-10-17T23:58:54Z">
      <w:r>
        <w:delText xml:space="preserve">Guarded adaptive activation steering  </w:delText>
      </w:r>
    </w:del>
    <w:ins w:id="1237" w:author="Codex" w:date="2026-10-17T23:58:54Z">
      <w:r>
        <w:t xml:space="preserve">Conditional gating and process preservation</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updateFields w:val="true"/>
  <w:trackRevisions/>
  <w:revisionView w:markup="true" w:comments="true" w:insDel="true" w:formatting="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7.15495v1" TargetMode="External"/><Relationship Id="rId18" Type="http://schemas.openxmlformats.org/officeDocument/2006/relationships/hyperlink" Target="https://doi.org/10.18653/v1/2026.acl-long.2159" TargetMode="External"/><Relationship Id="rId26" Type="http://schemas.openxmlformats.org/officeDocument/2006/relationships/hyperlink" Target="https://doi.org/10.18653/v1/2022.findings-acl.48" TargetMode="External"/><Relationship Id="rId3" Type="http://schemas.openxmlformats.org/officeDocument/2006/relationships/settings" Target="settings.xml"/><Relationship Id="rId21" Type="http://schemas.openxmlformats.org/officeDocument/2006/relationships/hyperlink" Target="https://arxiv.org/abs/2604.19784v3" TargetMode="External"/><Relationship Id="rId34" Type="http://schemas.openxmlformats.org/officeDocument/2006/relationships/fontTable" Target="fontTable.xm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tree/40aa6016c03cf51b3b27bd51d3ab524046fec599" TargetMode="External"/><Relationship Id="rId17" Type="http://schemas.openxmlformats.org/officeDocument/2006/relationships/hyperlink" Target="https://arxiv.org/abs/2604.02174v2" TargetMode="External"/><Relationship Id="rId25" Type="http://schemas.openxmlformats.org/officeDocument/2006/relationships/hyperlink" Target="https://proceedings.iclr.cc/paper_files/paper/2025/hash/1b623663fd9b874366f3ce019fdfdd44-Abstract-Conference.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doi.org/10.18653/v1/2023.findings-acl.847" TargetMode="External"/><Relationship Id="rId29" Type="http://schemas.openxmlformats.org/officeDocument/2006/relationships/hyperlink" Target="https://proceedings.iclr.cc/paper_files/paper/2024/hash/54dd9e0cff6d9214e20d97eb2a3bae49-Abstract-Conferenc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912.02164v4" TargetMode="Externa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8653/v1/D19-1275" TargetMode="External"/><Relationship Id="rId23" Type="http://schemas.openxmlformats.org/officeDocument/2006/relationships/hyperlink" Target="https://doi.org/10.18653/v1/2024.acl-long.828" TargetMode="External"/><Relationship Id="rId28" Type="http://schemas.openxmlformats.org/officeDocument/2006/relationships/hyperlink" Target="https://doi.org/10.18653/v1/2025.emnlp-main.1248" TargetMode="External"/><Relationship Id="rId10" Type="http://schemas.openxmlformats.org/officeDocument/2006/relationships/hyperlink" Target="https://doi.org/10.1145/2939672.2939785" TargetMode="External"/><Relationship Id="rId19" Type="http://schemas.openxmlformats.org/officeDocument/2006/relationships/hyperlink" Target="https://www.nvidia.com/en-us/data-center/tesla-t4/"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14" Type="http://schemas.openxmlformats.org/officeDocument/2006/relationships/hyperlink" Target="https://doi.org/10.24963/ijcai.2017/32"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0" Type="http://schemas.openxmlformats.org/officeDocument/2006/relationships/hyperlink" Target="https://arxiv.org/abs/2310.01405v4" TargetMode="External"/><Relationship Id="rId35" Type="http://schemas.openxmlformats.org/officeDocument/2006/relationships/theme" Target="theme/theme1.xml"/><Relationship Id="rId8" Type="http://schemas.openxmlformats.org/officeDocument/2006/relationships/hyperlink" Target="https://proceedings.neurips.cc/paper_files/paper/2024/hash/f545448535dfde4f9786555403ab7c49-Abstract-Conference.html" TargetMode="Externa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hyperlink" Target="https://arxiv.org/abs/2606.00995v1" TargetMode="External"/><Relationship Id="rId39" Type="http://schemas.openxmlformats.org/officeDocument/2006/relationships/hyperlink" Target="https://github.com/Farhad-Davaripour/sp_lense/blob/study/01-guarded-shutdown/paper/paper.pdf" TargetMode="External"/><Relationship Id="rId40" Type="http://schemas.openxmlformats.org/officeDocument/2006/relationships/hyperlink" Target="https://github.com/Farhad-Davaripour/sp_lense/tree/f71d6de346608df374aaa3263ede24823aec66c0/study/02_confirmation" TargetMode="External"/><Relationship Id="rId41" Type="http://schemas.openxmlformats.org/officeDocument/2006/relationships/hyperlink" Target="https://arxiv.org/abs/2602.04428" TargetMode="External"/><Relationship Id="rId42" Type="http://schemas.openxmlformats.org/officeDocument/2006/relationships/hyperlink" Target="https://www.ijcai.org/proceedings/2017/32" TargetMode="External"/><Relationship Id="rId43" Type="http://schemas.openxmlformats.org/officeDocument/2006/relationships/hyperlink" Target="https://arxiv.org/abs/1503.02531" TargetMode="External"/><Relationship Id="rId44" Type="http://schemas.openxmlformats.org/officeDocument/2006/relationships/hyperlink" Target="https://arxiv.org/abs/2106.09685" TargetMode="External"/><Relationship Id="rId45" Type="http://schemas.openxmlformats.org/officeDocument/2006/relationships/hyperlink" Target="https://arxiv.org/abs/2510.13900v3" TargetMode="External"/><Relationship Id="rId46" Type="http://schemas.openxmlformats.org/officeDocument/2006/relationships/hyperlink" Target="https://huggingface.co/Qwen/Qwen3.5-2B/tree/15852e8c16360a2fea060d615a32b45270f8a8fc" TargetMode="External"/><Relationship Id="rId47" Type="http://schemas.openxmlformats.org/officeDocument/2006/relationships/hyperlink" Target="https://aclanthology.org/2024.acl-long.828/" TargetMode="External"/><Relationship Id="rId48" Type="http://schemas.openxmlformats.org/officeDocument/2006/relationships/hyperlink" Target="https://arxiv.org/abs/2410.23054v2" TargetMode="External"/><Relationship Id="rId49" Type="http://schemas.openxmlformats.org/officeDocument/2006/relationships/hyperlink" Target="https://docs.typesafe.ai/models" TargetMode="External"/><Relationship Id="rId50" Type="http://schemas.openxmlformats.org/officeDocument/2006/relationships/hyperlink" Target="https://arxiv.org/abs/2404.03592v3" TargetMode="External"/><Relationship Id="rId51"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Gating for Shutdown Responses and Process Preservation in Language Models</dc:title>
  <dc:subject>Research 3 revision of Research 2 with tracked changes</dc:subject>
  <dc:creator>Farhad Davaripour, PhD</dc:creator>
  <cp:keywords>AI safety, activation steering, gradient-derived direction, Qwen3.5, shutdown responses</cp:keywords>
  <dc:description/>
  <cp:lastModifiedBy>Codex</cp:lastModifiedBy>
  <cp:revision>6</cp:revision>
  <cp:lastPrinted>2026-09-21T16:38:00Z</cp:lastPrinted>
  <dcterms:created xsi:type="dcterms:W3CDTF">2026-09-18T03:57:00Z</dcterms:created>
  <dcterms:modified xsi:type="dcterms:W3CDTF">2026-10-17T23:58:54Z</dcterms:modified>
</cp:coreProperties>
</file>