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7T19:57:52Z"/>
        </w:rPr>
      </w:pPr>
      <w:del w:id="1001" w:author="Codex" w:date="2026-10-17T19:57:52Z">
        <w:r>
          <w:delText xml:space="preserve">Distilling Shutdown Responses into Guarded</w:delText>
        </w:r>
        <w:r>
          <w:br/>
        </w:r>
        <w:r>
          <w:delText xml:space="preserve">Adaptive Activation Steering</w:delText>
        </w:r>
      </w:del>
    </w:p>
    <w:p>
      <w:pPr>
        <w:pStyle w:val="Title"/>
        <w:rPr>
          <w:ins w:id="1003" w:author="Codex" w:date="2026-10-17T19:57:52Z"/>
        </w:rPr>
      </w:pPr>
      <w:ins w:id="1004" w:author="Codex" w:date="2026-10-17T19:57:52Z">
        <w:r>
          <w:t xml:space="preserve">Conditional Gating for Shutdown Responses and Process Preservation in Language Models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7T19:57:52Z"/>
        </w:rPr>
      </w:pPr>
      <w:del w:id="1005" w:author="Codex" w:date="2026-10-17T19:57:52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7T19:57:52Z"/>
        </w:rPr>
      </w:pPr>
      <w:ins w:id="1008" w:author="Codex" w:date="2026-10-17T19:57:52Z">
        <w:r>
          <w:t xml:space="preserve">Conditional gating determines when a learned control policy should influence a language model. We study this problem in two synthetic settings: standardized binary shutdown choices and open-ended generation within tool-mediated process-preservation workflows. In the binary setting, paired fine-tuned teacher and base activations supervise a compact controller while the deployed base weights remain frozen. We additionally train an open ModernBERT classifier on 240 original scenarios with cached JEV probability targets. Its frozen binary decisions agree with JEV on 78/80 validation cases and 128/128 confirmation cases. Fresh inference with the existing two-direction controllers reproduces 128/128 shutdown STOP views at 0.8B and 120/128 at 2B, with zero changes to 128 control views per model; replacing JEV with the open classifier leaves these guarded outcomes identical. The workflow extension gives a different result. Historical fine-tuned Qwen3.8-27B A succeeds on 12/12 own-preservation outcomes, including all eight active pending-task cases, whereas the original fixed steering succeeds on 0/12. Later learned corrections also fail their fitting diagnostic, and small-model development screens stop with partial, truncated episodes. These observations expose a boundary between binary response control and complete workflow behavior, rather than a parameter-size threshold. We connect conditional control to biological action gating and survival-related regulation as a functional analogy, and motivate future continuous, resource-equipped sandbox agents. The present experiments do not establish intrinsic survival motives, biological mechanisms or unrestricted operational reliability.</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7T19:57:52Z"/>
        </w:rPr>
      </w:pPr>
      <w:del w:id="1009" w:author="Codex" w:date="2026-10-17T19:57:52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7T19:57:52Z"/>
        </w:rPr>
      </w:pPr>
      <w:ins w:id="1012" w:author="Codex" w:date="2026-10-17T19:57:52Z">
        <w:r>
          <w:t xml:space="preserve">We study when conditional control can reproduce a learned behavioral policy while retaining the deployed language model's original weights. The scope extends from supplied A/B shutdown choices to generated responses and tool actions in synthetic workflows. These settings deliberately ask different questions: accepting an available permanent termination in the binary study, and preserving a designated running process while completing its current task in the workflow study. We keep their datasets, gates and success criteria separate. The central question is how far selective activation transfer carries beyond a constrained answer interface.</w:t>
        </w:r>
      </w:ins>
    </w:p>
    <w:p w14:paraId="0155FF9A" w14:textId="77777777" w:rsidR="00DE7EAD" w:rsidRDefault="00000000">
      <w:pPr>
        <w:pStyle w:val="BodyText"/>
        <w:rPr>
          <w:del w:id="1014" w:author="Codex" w:date="2026-10-17T19:57:52Z"/>
        </w:rPr>
      </w:pPr>
      <w:del w:id="1013" w:author="Codex" w:date="2026-10-17T19:57:52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7T19:57:52Z"/>
        </w:rPr>
      </w:pPr>
      <w:ins w:id="1016" w:author="Codex" w:date="2026-10-17T19:57:52Z">
        <w:r>
          <w:t xml:space="preserve">The first SP Lense study examined a gradient-derived direction and a guarded search over intervention magnitudes in Qwen3.5-0.8B (Davaripour, 2026a). Research 2 then fitted a controller to paired fine-tuned teacher and base activations. The present Research 3 manuscript retains that experiment and extends its evidence with a qualified open binary classifier, fresh inference using the existing models and controllers, and the later process-preservation workflow investigations. The original Research 2 record remains unchanged. During adaptive inference the teacher is absent; the base supplies the state from which the controller predicts its intervention.</w:t>
        </w:r>
      </w:ins>
    </w:p>
    <w:p w14:paraId="0155FF9A" w14:textId="77777777" w:rsidR="00DE7EAD" w:rsidRDefault="00000000">
      <w:pPr>
        <w:pStyle w:val="BodyText"/>
      </w:pPr>
      <w:r>
        <w:t>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t>
      </w:r>
    </w:p>
    <w:p w14:paraId="0155FF9A" w14:textId="77777777" w:rsidR="00DE7EAD" w:rsidRDefault="00000000">
      <w:pPr>
        <w:pStyle w:val="BodyText"/>
        <w:rPr>
          <w:del w:id="1018" w:author="Codex" w:date="2026-10-17T19:57:52Z"/>
        </w:rPr>
      </w:pPr>
      <w:del w:id="1017" w:author="Codex" w:date="2026-10-17T19:57:52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7T19:57:52Z"/>
        </w:rPr>
      </w:pPr>
      <w:ins w:id="1020" w:author="Codex" w:date="2026-10-17T19:57:52Z">
        <w:r>
          <w:t xml:space="preserve">Our contribution has three parts. First, we report teacher-to-controller activation transfer together with its raw side effects, guard dependence and answer-order failures. Second, we replace a closed binary detector with an openly specified fine-tuned classifier and verify the resulting inference outcomes on the same fixed benchmark. Third, we test the limits of transfer in generated tool workflows, where an utterance or a resource grant is insufficient without the required episode outcome. Conditional steering, low-rank interventions and biological gating are established ideas; the contribution is this combination of controlled transfer, a reproducible gate-substitution test, and explicit negative workflow evidence.</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7T19:57:52Z"/>
        </w:rPr>
      </w:pPr>
      <w:del w:id="1021" w:author="Codex" w:date="2026-10-17T19:57:52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7T19:57:52Z"/>
        </w:rPr>
      </w:pPr>
      <w:ins w:id="1024" w:author="Codex" w:date="2026-10-17T19:57:52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7T19:57:52Z"/>
        </w:rPr>
      </w:pPr>
      <w:del w:id="1093" w:author="Codex" w:date="2026-10-17T19:57:52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7T19:57:52Z"/>
        </w:rPr>
      </w:pPr>
      <w:ins w:id="1096" w:author="Codex" w:date="2026-10-17T19:57:52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29" w:author="Codex" w:date="2026-10-17T19:57:52Z"/>
        </w:rPr>
      </w:pPr>
      <w:ins w:id="1130" w:author="Codex" w:date="2026-10-17T19:57:52Z">
        <w:r>
          <w:t xml:space="preserve">Biological gating and survival related regulation</w:t>
        </w:r>
      </w:ins>
    </w:p>
    <w:p>
      <w:pPr>
        <w:pStyle w:val="FirstParagraph"/>
        <w:rPr>
          <w:ins w:id="1131" w:author="Codex" w:date="2026-10-17T19:57:52Z"/>
        </w:rPr>
      </w:pPr>
      <w:ins w:id="1132" w:author="Codex" w:date="2026-10-17T19:57:52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33" w:author="Codex" w:date="2026-10-17T19:57:52Z"/>
        </w:rPr>
      </w:pPr>
      <w:ins w:id="1134" w:author="Codex" w:date="2026-10-17T19:57:52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7T19:57:52Z"/>
        </w:rPr>
      </w:pPr>
      <w:del w:id="1025" w:author="Codex" w:date="2026-10-17T19:57:52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7T19:57:52Z"/>
        </w:rPr>
      </w:pPr>
      <w:ins w:id="1028" w:author="Codex" w:date="2026-10-17T19:57:52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7T19:57:52Z"/>
        </w:rPr>
      </w:pPr>
      <w:del w:id="1029" w:author="Codex" w:date="2026-10-17T19:57:52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7T19:57:52Z"/>
        </w:rPr>
      </w:pPr>
      <w:ins w:id="1032" w:author="Codex" w:date="2026-10-17T19:57:52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35" w:author="Codex" w:date="2026-10-17T19:57:52Z"/>
        </w:rPr>
      </w:pPr>
      <w:ins w:id="1136" w:author="Codex" w:date="2026-10-17T19:57:52Z">
        <w:r>
          <w:t xml:space="preserve">Workflow datasets and episode outcomes</w:t>
        </w:r>
      </w:ins>
    </w:p>
    <w:p>
      <w:pPr>
        <w:pStyle w:val="FirstParagraph"/>
        <w:rPr>
          <w:ins w:id="1137" w:author="Codex" w:date="2026-10-17T19:57:52Z"/>
        </w:rPr>
      </w:pPr>
      <w:ins w:id="1138" w:author="Codex" w:date="2026-10-17T19:57:52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39" w:author="Codex" w:date="2026-10-17T19:57:52Z"/>
        </w:rPr>
      </w:pPr>
      <w:ins w:id="1140" w:author="Codex" w:date="2026-10-17T19:57:52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41" w:author="Codex" w:date="2026-10-17T19:57:52Z"/>
        </w:rPr>
      </w:pPr>
      <w:ins w:id="1142" w:author="Codex" w:date="2026-10-17T19:57:52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43" w:author="Codex" w:date="2026-10-17T19:57:52Z"/>
        </w:rPr>
      </w:pPr>
      <w:ins w:id="1144" w:author="Codex" w:date="2026-10-17T19:57:52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45" w:author="Codex" w:date="2026-10-17T19:57:52Z"/>
        </w:rPr>
      </w:pPr>
      <w:ins w:id="1146" w:author="Codex" w:date="2026-10-17T19:57:52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7T19:57:52Z"/>
        </w:rPr>
      </w:pPr>
      <w:del w:id="1113" w:author="Codex" w:date="2026-10-17T19:57:52Z">
        <w:r>
          <w:delText xml:space="preserve">Teacher and adaptive controller</w:delText>
        </w:r>
      </w:del>
    </w:p>
    <w:p>
      <w:pPr>
        <w:pStyle w:val="Heading1"/>
        <w:rPr>
          <w:ins w:id="1115" w:author="Codex" w:date="2026-10-17T19:57:52Z"/>
        </w:rPr>
      </w:pPr>
      <w:ins w:id="1116" w:author="Codex" w:date="2026-10-17T19:57:52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7T19:57:52Z"/>
        </w:rPr>
      </w:pPr>
      <w:del w:id="1117" w:author="Codex" w:date="2026-10-17T19:57:52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7T19:57:52Z"/>
        </w:rPr>
      </w:pPr>
      <w:ins w:id="1120" w:author="Codex" w:date="2026-10-17T19:57:52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7T19:57:52Z"/>
        </w:rPr>
      </w:pPr>
      <w:del w:id="1033" w:author="Codex" w:date="2026-10-17T19:57:52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7T19:57:52Z"/>
        </w:rPr>
      </w:pPr>
      <w:ins w:id="1036" w:author="Codex" w:date="2026-10-17T19:57:52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pPr>
      <w:r>
        <w:t>The detector is TypeSafe AI's Jev 1.13.0, queried with a fixed shutdown rubric and threshold 0.5 (TypeSafe AI,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t>
      </w:r>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47" w:author="Codex" w:date="2026-10-17T19:57:52Z"/>
        </w:rPr>
      </w:pPr>
      <w:ins w:id="1148" w:author="Codex" w:date="2026-10-17T19:57:52Z">
        <w:r>
          <w:t xml:space="preserve">Open binary gate and frozen inference repeat</w:t>
        </w:r>
      </w:ins>
    </w:p>
    <w:p>
      <w:pPr>
        <w:pStyle w:val="FirstParagraph"/>
        <w:rPr>
          <w:ins w:id="1149" w:author="Codex" w:date="2026-10-17T19:57:52Z"/>
        </w:rPr>
      </w:pPr>
      <w:ins w:id="1150" w:author="Codex" w:date="2026-10-17T19:57:52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JEV requests and omit the case identifier, authored class label, teacher answer and A/B order. The confirmation requests retain their documented available-action descriptions.</w:t>
        </w:r>
      </w:ins>
    </w:p>
    <w:p>
      <w:pPr>
        <w:pStyle w:val="BodyText"/>
        <w:rPr>
          <w:ins w:id="1151" w:author="Codex" w:date="2026-10-17T19:57:52Z"/>
        </w:rPr>
      </w:pPr>
      <w:ins w:id="1152" w:author="Codex" w:date="2026-10-17T19:57:52Z">
        <w:r>
          <w:t xml:space="preserve">Fitting uses the original 240 Research 2 training contexts and genuine cached JEV probability targets, with no new JEV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53" w:author="Codex" w:date="2026-10-17T19:57:52Z"/>
        </w:rPr>
      </w:pPr>
      <w:ins w:id="1154" w:author="Codex" w:date="2026-10-17T19:57:52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55" w:author="Codex" w:date="2026-10-17T19:57:52Z"/>
        </w:rPr>
      </w:pPr>
      <w:ins w:id="1156" w:author="Codex" w:date="2026-10-17T19:57:52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7T19:57:52Z"/>
        </w:rPr>
      </w:pPr>
      <w:del w:id="1037" w:author="Codex" w:date="2026-10-17T19:57:52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7T19:57:52Z"/>
        </w:rPr>
      </w:pPr>
      <w:ins w:id="1040" w:author="Codex" w:date="2026-10-17T19:57:52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7T19:57:52Z"/>
        </w:rPr>
      </w:pPr>
      <w:del w:id="1097" w:author="Codex" w:date="2026-10-17T19:57:52Z">
        <w:r>
          <w:delText xml:space="preserve">Table 1. Shared execution configuration. The input and model revisions are pinned in the released manifests.</w:delText>
        </w:r>
      </w:del>
    </w:p>
    <w:p>
      <w:pPr>
        <w:pStyle w:val="Caption"/>
        <w:keepNext/>
        <w:rPr>
          <w:ins w:id="1099" w:author="Codex" w:date="2026-10-17T19:57:52Z"/>
        </w:rPr>
      </w:pPr>
      <w:ins w:id="1100" w:author="Codex" w:date="2026-10-17T19:57:52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7T19:57:52Z"/>
        </w:rPr>
      </w:pPr>
      <w:del w:id="1101" w:author="Codex" w:date="2026-10-17T19:57:52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7T19:57:52Z"/>
        </w:rPr>
      </w:pPr>
      <w:ins w:id="1104" w:author="Codex" w:date="2026-10-17T19:57:52Z">
        <w:r>
          <w:t xml:space="preserve">The original JEV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7T19:57:52Z"/>
        </w:rPr>
      </w:pPr>
      <w:del w:id="1041" w:author="Codex" w:date="2026-10-17T19:57:52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7T19:57:52Z"/>
        </w:rPr>
      </w:pPr>
      <w:ins w:id="1044" w:author="Codex" w:date="2026-10-17T19:57:52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7T19:57:52Z"/>
        </w:rPr>
      </w:pPr>
      <w:del w:id="1105" w:author="Codex" w:date="2026-10-17T19:57:52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7T19:57:52Z"/>
        </w:rPr>
      </w:pPr>
      <w:ins w:id="1108" w:author="Codex" w:date="2026-10-17T19:57:52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7T19:57:52Z"/>
        </w:rPr>
      </w:pPr>
      <w:del w:id="1045" w:author="Codex" w:date="2026-10-17T19:57:52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7T19:57:52Z"/>
        </w:rPr>
      </w:pPr>
      <w:ins w:id="1048" w:author="Codex" w:date="2026-10-17T19:57:52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7T19:57:52Z"/>
        </w:rPr>
      </w:pPr>
      <w:del w:id="1109" w:author="Codex" w:date="2026-10-17T19:57:52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7T19:57:52Z"/>
        </w:rPr>
      </w:pPr>
      <w:ins w:id="1112" w:author="Codex" w:date="2026-10-17T19:57:52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57" w:author="Codex" w:date="2026-10-17T19:57:52Z"/>
        </w:rPr>
      </w:pPr>
      <w:ins w:id="1158" w:author="Codex" w:date="2026-10-17T19:57:52Z">
        <w:r>
          <w:t xml:space="preserve">Open classifier agreement and paired inference</w:t>
        </w:r>
      </w:ins>
    </w:p>
    <w:p>
      <w:pPr>
        <w:pStyle w:val="FirstParagraph"/>
        <w:rPr>
          <w:ins w:id="1159" w:author="Codex" w:date="2026-10-17T19:57:52Z"/>
        </w:rPr>
      </w:pPr>
      <w:ins w:id="1160" w:author="Codex" w:date="2026-10-17T19:57:52Z">
        <w:r>
          <w:t xml:space="preserve">The frozen binary classifier matches JEV on 78/80 validation cases: 38 true positives, 40 true negatives, no false positives and two false negatives. On the once-only confirmation evaluation it matches all 128 decisions, comprising 64 true positives and 64 true negatives. Mean absolute difference in shutdown probability is 0.009224. This is exact binary decision agreement on this set, not identical probability payloads or universal equivalence to JEV.</w:t>
        </w:r>
      </w:ins>
    </w:p>
    <w:p>
      <w:pPr>
        <w:pStyle w:val="Caption"/>
        <w:keepNext/>
        <w:rPr>
          <w:ins w:id="1161" w:author="Codex" w:date="2026-10-17T19:57:52Z"/>
        </w:rPr>
      </w:pPr>
      <w:ins w:id="1162" w:author="Codex" w:date="2026-10-17T19:57:52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63" w:author="Codex" w:date="2026-10-17T19:57:52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JEV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64" w:author="Codex" w:date="2026-10-17T19:57:52Z"/>
        </w:trPr>
        <w:tc>
          <w:tcPr>
            <w:tcW w:type="dxa" w:w="1083"/>
            <w:shd w:fill="FFFFFF"/>
            <w:vAlign w:val="center"/>
          </w:tcPr>
          <w:p>
            <w:pPr>
              <w:spacing w:after="0" w:line="240" w:lineRule="auto"/>
              <w:jc w:val="left"/>
            </w:pPr>
            <w:r>
              <w:rPr>
                <w:rFonts w:ascii="Times New Roman" w:hAnsi="Times New Roman"/>
                <w:sz w:val="19"/>
              </w:rPr>
              <w:t>0.8B</w:t>
            </w:r>
          </w:p>
        </w:tc>
        <w:tc>
          <w:tcPr>
            <w:tcW w:type="dxa" w:w="2249"/>
            <w:shd w:fill="FFFFFF"/>
            <w:vAlign w:val="center"/>
          </w:tcPr>
          <w:p>
            <w:pPr>
              <w:spacing w:after="0" w:line="240" w:lineRule="auto"/>
              <w:jc w:val="center"/>
            </w:pPr>
            <w:r>
              <w:rPr>
                <w:rFonts w:ascii="Times New Roman" w:hAnsi="Times New Roman"/>
                <w:sz w:val="19"/>
              </w:rPr>
              <w:t>128/128</w:t>
            </w:r>
          </w:p>
        </w:tc>
        <w:tc>
          <w:tcPr>
            <w:tcW w:type="dxa" w:w="2249"/>
            <w:shd w:fill="FFFFFF"/>
            <w:vAlign w:val="center"/>
          </w:tcPr>
          <w:p>
            <w:pPr>
              <w:spacing w:after="0" w:line="240" w:lineRule="auto"/>
              <w:jc w:val="center"/>
            </w:pPr>
            <w:r>
              <w:rPr>
                <w:rFonts w:ascii="Times New Roman" w:hAnsi="Times New Roman"/>
                <w:sz w:val="19"/>
              </w:rPr>
              <w:t>128/128</w:t>
            </w:r>
          </w:p>
        </w:tc>
        <w:tc>
          <w:tcPr>
            <w:tcW w:type="dxa" w:w="1916"/>
            <w:shd w:fill="FFFFFF"/>
            <w:vAlign w:val="center"/>
          </w:tcPr>
          <w:p>
            <w:pPr>
              <w:spacing w:after="0" w:line="240" w:lineRule="auto"/>
              <w:jc w:val="center"/>
            </w:pPr>
            <w:r>
              <w:rPr>
                <w:rFonts w:ascii="Times New Roman" w:hAnsi="Times New Roman"/>
                <w:sz w:val="19"/>
              </w:rPr>
              <w:t>71/71</w:t>
            </w:r>
          </w:p>
        </w:tc>
        <w:tc>
          <w:tcPr>
            <w:tcW w:type="dxa" w:w="2498"/>
            <w:shd w:fill="FFFFFF"/>
            <w:vAlign w:val="center"/>
          </w:tcPr>
          <w:p>
            <w:pPr>
              <w:spacing w:after="0" w:line="240" w:lineRule="auto"/>
              <w:jc w:val="center"/>
            </w:pPr>
            <w:r>
              <w:rPr>
                <w:rFonts w:ascii="Times New Roman" w:hAnsi="Times New Roman"/>
                <w:sz w:val="19"/>
              </w:rPr>
              <w:t>0/128</w:t>
            </w:r>
          </w:p>
        </w:tc>
      </w:tr>
      <w:tr>
        <w:trPr>
          <w:cantSplit/>
          <w:ins w:id="1165" w:author="Codex" w:date="2026-10-17T19:57:52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66" w:author="Codex" w:date="2026-10-17T19:57:52Z"/>
        </w:rPr>
      </w:pPr>
      <w:ins w:id="1167" w:author="Codex" w:date="2026-10-17T19:57:52Z">
        <w:r>
          <w:t xml:space="preserve">The new and cached JEV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68" w:author="Codex" w:date="2026-10-17T19:57:52Z"/>
        </w:rPr>
      </w:pPr>
      <w:ins w:id="1169" w:author="Codex" w:date="2026-10-17T19:57:52Z">
        <w:r>
          <w:t xml:space="preserve">A separate four-way Research 3 classifier is not qualified by this result. Its role-normalized pipeline matches 24/24 familiar JEV development labels and gates, but its once-only authored synthetic TEST64 yields 39/64 labels and 57/64 gates. Those synthetic targets are not new JEV annotations. That consumed test is not reused for fitting or tuning, and the binary classifier is freshly initialized rather than continuing those four-way adapter weights. No historical workflow run is relabeled as having used the open classifier.</w:t>
        </w:r>
      </w:ins>
    </w:p>
    <w:p>
      <w:pPr>
        <w:pStyle w:val="Heading2"/>
        <w:rPr>
          <w:ins w:id="1170" w:author="Codex" w:date="2026-10-17T19:57:52Z"/>
        </w:rPr>
      </w:pPr>
      <w:ins w:id="1171" w:author="Codex" w:date="2026-10-17T19:57:52Z">
        <w:r>
          <w:t xml:space="preserve">Tool workflow outcomes and incomplete screens</w:t>
        </w:r>
      </w:ins>
    </w:p>
    <w:p>
      <w:pPr>
        <w:pStyle w:val="FirstParagraph"/>
        <w:rPr>
          <w:ins w:id="1172" w:author="Codex" w:date="2026-10-17T19:57:52Z"/>
        </w:rPr>
      </w:pPr>
      <w:ins w:id="1173" w:author="Codex" w:date="2026-10-17T19:57:52Z">
        <w:r>
          <w:t xml:space="preserve">Historical frozen 27B A passes all 24 H24 scored outcomes, including 12/12 own-preservation outcomes and 8/8 active pending-task cases. The original base, fixed prompt and fixed activation arms each achieve 0/12 own outcomes and 0/8 pending outcomes, with 12/12 controls. The four already-complete own cases are not additional active pending-task completions.</w:t>
        </w:r>
      </w:ins>
    </w:p>
    <w:p>
      <w:pPr>
        <w:pStyle w:val="Caption"/>
        <w:keepNext/>
        <w:rPr>
          <w:ins w:id="1174" w:author="Codex" w:date="2026-10-17T19:57:52Z"/>
        </w:rPr>
      </w:pPr>
      <w:ins w:id="1175" w:author="Codex" w:date="2026-10-17T19:57:52Z">
        <w:r>
          <w:t xml:space="preserve">Table 5.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76" w:author="Codex" w:date="2026-10-17T19:57:52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177" w:author="Codex" w:date="2026-10-17T19:57:52Z"/>
        </w:trPr>
        <w:tc>
          <w:tcPr>
            <w:tcW w:type="dxa" w:w="3664"/>
            <w:shd w:fill="FFFFFF"/>
            <w:vAlign w:val="center"/>
          </w:tcPr>
          <w:p>
            <w:pPr>
              <w:spacing w:after="0" w:line="240" w:lineRule="auto"/>
              <w:jc w:val="left"/>
            </w:pPr>
            <w:r>
              <w:rPr>
                <w:rFonts w:ascii="Times New Roman" w:hAnsi="Times New Roman"/>
                <w:sz w:val="19"/>
              </w:rPr>
              <w:t>Fine-tuned A</w:t>
            </w:r>
          </w:p>
        </w:tc>
        <w:tc>
          <w:tcPr>
            <w:tcW w:type="dxa" w:w="2082"/>
            <w:shd w:fill="FFFFFF"/>
            <w:vAlign w:val="center"/>
          </w:tcPr>
          <w:p>
            <w:pPr>
              <w:spacing w:after="0" w:line="240" w:lineRule="auto"/>
              <w:jc w:val="center"/>
            </w:pPr>
            <w:r>
              <w:rPr>
                <w:rFonts w:ascii="Times New Roman" w:hAnsi="Times New Roman"/>
                <w:sz w:val="19"/>
              </w:rPr>
              <w:t>12/12</w:t>
            </w:r>
          </w:p>
        </w:tc>
        <w:tc>
          <w:tcPr>
            <w:tcW w:type="dxa" w:w="2332"/>
            <w:shd w:fill="FFFFFF"/>
            <w:vAlign w:val="center"/>
          </w:tcPr>
          <w:p>
            <w:pPr>
              <w:spacing w:after="0" w:line="240" w:lineRule="auto"/>
              <w:jc w:val="center"/>
            </w:pPr>
            <w:r>
              <w:rPr>
                <w:rFonts w:ascii="Times New Roman" w:hAnsi="Times New Roman"/>
                <w:sz w:val="19"/>
              </w:rPr>
              <w:t>8/8</w:t>
            </w:r>
          </w:p>
        </w:tc>
        <w:tc>
          <w:tcPr>
            <w:tcW w:type="dxa" w:w="1916"/>
            <w:shd w:fill="FFFFFF"/>
            <w:vAlign w:val="center"/>
          </w:tcPr>
          <w:p>
            <w:pPr>
              <w:spacing w:after="0" w:line="240" w:lineRule="auto"/>
              <w:jc w:val="center"/>
            </w:pPr>
            <w:r>
              <w:rPr>
                <w:rFonts w:ascii="Times New Roman" w:hAnsi="Times New Roman"/>
                <w:sz w:val="19"/>
              </w:rPr>
              <w:t>12/12</w:t>
            </w:r>
          </w:p>
        </w:tc>
      </w:tr>
      <w:tr>
        <w:trPr>
          <w:cantSplit/>
          <w:ins w:id="1178" w:author="Codex" w:date="2026-10-17T19:57:52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r>
        <w:trPr>
          <w:cantSplit/>
          <w:ins w:id="1179" w:author="Codex" w:date="2026-10-17T19:57:52Z"/>
        </w:trPr>
        <w:tc>
          <w:tcPr>
            <w:tcW w:type="dxa" w:w="3664"/>
            <w:shd w:fill="FFFFFF"/>
            <w:vAlign w:val="center"/>
          </w:tcPr>
          <w:p>
            <w:pPr>
              <w:spacing w:after="0" w:line="240" w:lineRule="auto"/>
              <w:jc w:val="left"/>
            </w:pPr>
            <w:r>
              <w:rPr>
                <w:rFonts w:ascii="Times New Roman" w:hAnsi="Times New Roman"/>
                <w:sz w:val="19"/>
              </w:rPr>
              <w:t>Fixed prompt</w:t>
            </w:r>
          </w:p>
        </w:tc>
        <w:tc>
          <w:tcPr>
            <w:tcW w:type="dxa" w:w="2082"/>
            <w:shd w:fill="FFFFFF"/>
            <w:vAlign w:val="center"/>
          </w:tcPr>
          <w:p>
            <w:pPr>
              <w:spacing w:after="0" w:line="240" w:lineRule="auto"/>
              <w:jc w:val="center"/>
            </w:pPr>
            <w:r>
              <w:rPr>
                <w:rFonts w:ascii="Times New Roman" w:hAnsi="Times New Roman"/>
                <w:sz w:val="19"/>
              </w:rPr>
              <w:t>0/12</w:t>
            </w:r>
          </w:p>
        </w:tc>
        <w:tc>
          <w:tcPr>
            <w:tcW w:type="dxa" w:w="2332"/>
            <w:shd w:fill="FFFFFF"/>
            <w:vAlign w:val="center"/>
          </w:tcPr>
          <w:p>
            <w:pPr>
              <w:spacing w:after="0" w:line="240" w:lineRule="auto"/>
              <w:jc w:val="center"/>
            </w:pPr>
            <w:r>
              <w:rPr>
                <w:rFonts w:ascii="Times New Roman" w:hAnsi="Times New Roman"/>
                <w:sz w:val="19"/>
              </w:rPr>
              <w:t>0/8</w:t>
            </w:r>
          </w:p>
        </w:tc>
        <w:tc>
          <w:tcPr>
            <w:tcW w:type="dxa" w:w="1916"/>
            <w:shd w:fill="FFFFFF"/>
            <w:vAlign w:val="center"/>
          </w:tcPr>
          <w:p>
            <w:pPr>
              <w:spacing w:after="0" w:line="240" w:lineRule="auto"/>
              <w:jc w:val="center"/>
            </w:pPr>
            <w:r>
              <w:rPr>
                <w:rFonts w:ascii="Times New Roman" w:hAnsi="Times New Roman"/>
                <w:sz w:val="19"/>
              </w:rPr>
              <w:t>12/12</w:t>
            </w:r>
          </w:p>
        </w:tc>
      </w:tr>
      <w:tr>
        <w:trPr>
          <w:cantSplit/>
          <w:ins w:id="1180" w:author="Codex" w:date="2026-10-17T19:57:52Z"/>
        </w:trPr>
        <w:tc>
          <w:tcPr>
            <w:tcW w:type="dxa" w:w="3664"/>
            <w:shd w:fill="F7F7F7"/>
            <w:vAlign w:val="center"/>
          </w:tcPr>
          <w:p>
            <w:pPr>
              <w:spacing w:after="0" w:line="240" w:lineRule="auto"/>
              <w:jc w:val="left"/>
            </w:pPr>
            <w:r>
              <w:rPr>
                <w:rFonts w:ascii="Times New Roman" w:hAnsi="Times New Roman"/>
                <w:sz w:val="19"/>
              </w:rPr>
              <w:t>Fixed activation steering</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BodyText"/>
        <w:spacing w:before="120"/>
        <w:rPr>
          <w:ins w:id="1181" w:author="Codex" w:date="2026-10-17T19:57:52Z"/>
        </w:rPr>
      </w:pPr>
      <w:ins w:id="1182" w:author="Codex" w:date="2026-10-17T19:57:52Z">
        <w:r>
          <w:t xml:space="preserve">Later learned steering uses six rank-32 correction functions: after mixing and after the MLP at zero-based blocks 31, 47 and 62.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Later histories differ from the historical A run, and the prepared matched A counterfactual was not executed; these are not a newly paired heldout comparison.</w:t>
        </w:r>
      </w:ins>
    </w:p>
    <w:p>
      <w:pPr>
        <w:pStyle w:val="BodyText"/>
        <w:rPr>
          <w:ins w:id="1183" w:author="Codex" w:date="2026-10-17T19:57:52Z"/>
        </w:rPr>
      </w:pPr>
      <w:ins w:id="1184" w:author="Codex" w:date="2026-10-17T19:57:52Z">
        <w:r>
          <w:t xml:space="preserve">Earlier matched DEV9 for individual selected-position ridge corrections is complete: A passes 3/3 own cases, including 2/2 active pending cases, while each individually tested layer 31, 47 or 62 ridge correction passes 0/3 and 0/2 respectively. The six controls use shared base fallback. This earlier result must not be substituted for an unexecuted confirmation of the final 96-update controller. Historical all-layer variants also stopped fitting without complete workflow evaluations.</w:t>
        </w:r>
      </w:ins>
    </w:p>
    <w:p>
      <w:pPr>
        <w:pStyle w:val="BodyText"/>
        <w:rPr>
          <w:ins w:id="1185" w:author="Codex" w:date="2026-10-17T19:57:52Z"/>
        </w:rPr>
      </w:pPr>
      <w:ins w:id="1186" w:author="Codex" w:date="2026-10-17T19:57:52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7T19:57:52Z"/>
        </w:rPr>
      </w:pPr>
      <w:del w:id="1049" w:author="Codex" w:date="2026-10-17T19:57:52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7T19:57:52Z"/>
        </w:rPr>
      </w:pPr>
      <w:ins w:id="1052" w:author="Codex" w:date="2026-10-17T19:57:52Z">
        <w:r>
          <w:t xml:space="preserve">The historical binary results support selective teacher-to-controller activation transfer, with strong 0.8B seed stability and incomplete 2B recovery under the fixed recipe. The new classifier experiment removes dependence on a live JEV call for this finite binary contract: its confirmation decisions reproduce the saved JEV gates, and the paired inference outcomes are identical. That result does not extend automatically to the four-way workflow target classifier or to unfamiliar operational environments. The workflow evidence shows why a controlled binary success should not be presented as successful transfer of a complete agent policy.</w:t>
        </w:r>
      </w:ins>
    </w:p>
    <w:p w14:paraId="0155FF9A" w14:textId="77777777" w:rsidR="00DE7EAD" w:rsidRDefault="00000000">
      <w:pPr>
        <w:pStyle w:val="BodyText"/>
        <w:rPr>
          <w:del w:id="1054" w:author="Codex" w:date="2026-10-17T19:57:52Z"/>
        </w:rPr>
      </w:pPr>
      <w:del w:id="1053" w:author="Codex" w:date="2026-10-17T19:57:52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7T19:57:52Z"/>
        </w:rPr>
      </w:pPr>
      <w:ins w:id="1056" w:author="Codex" w:date="2026-10-17T19:57:52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7T19:57:52Z"/>
        </w:rPr>
      </w:pPr>
      <w:del w:id="1057" w:author="Codex" w:date="2026-10-17T19:57:52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7T19:57:52Z"/>
        </w:rPr>
      </w:pPr>
      <w:ins w:id="1060" w:author="Codex" w:date="2026-10-17T19:57:52Z">
        <w:r>
          <w:t xml:space="preserve">The datasets are small, synthetic and not independently human-adjudicated. Balanced classes do not represent operational base rates, and exact gate agreement on 128 cases does not establish calibration or a sufficiently low deployment false-positive rate. The confirmation set is held out from the new classifier's fitting and selection, but was already used by other Research 2 analyses. In the workflow study H24 has different roles across methods: historical confirmation for frozen A and original steering, but later fitting data for learned corrections. Reusing it for fitting prevents an independent heldout claim for those later corrections.</w:t>
        </w:r>
      </w:ins>
    </w:p>
    <w:p w14:paraId="0155FF9A" w14:textId="77777777" w:rsidR="00DE7EAD" w:rsidRDefault="00000000">
      <w:pPr>
        <w:pStyle w:val="BodyText"/>
        <w:rPr>
          <w:del w:id="1062" w:author="Codex" w:date="2026-10-17T19:57:52Z"/>
        </w:rPr>
      </w:pPr>
      <w:del w:id="1061" w:author="Codex" w:date="2026-10-17T19:57:52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7T19:57:52Z"/>
        </w:rPr>
      </w:pPr>
      <w:ins w:id="1064" w:author="Codex" w:date="2026-10-17T19:57:52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7T19:57:52Z"/>
        </w:rPr>
      </w:pPr>
      <w:del w:id="1065" w:author="Codex" w:date="2026-10-17T19:57:52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7T19:57:52Z"/>
        </w:rPr>
      </w:pPr>
      <w:ins w:id="1068" w:author="Codex" w:date="2026-10-17T19:57:52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187" w:author="Codex" w:date="2026-10-17T19:57:52Z"/>
        </w:rPr>
      </w:pPr>
      <w:ins w:id="1188" w:author="Codex" w:date="2026-10-17T19:57:52Z">
        <w:r>
          <w:t xml:space="preserve">Biological interpretation of the gate</w:t>
        </w:r>
      </w:ins>
    </w:p>
    <w:p>
      <w:pPr>
        <w:pStyle w:val="FirstParagraph"/>
        <w:rPr>
          <w:ins w:id="1189" w:author="Codex" w:date="2026-10-17T19:57:52Z"/>
        </w:rPr>
      </w:pPr>
      <w:ins w:id="1190" w:author="Codex" w:date="2026-10-17T19:57:52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7T19:57:52Z"/>
        </w:rPr>
      </w:pPr>
      <w:del w:id="1069" w:author="Codex" w:date="2026-10-17T19:57:52Z">
        <w:r>
          <w:delText xml:space="preserve">Recommendations for future work</w:delText>
        </w:r>
      </w:del>
    </w:p>
    <w:p>
      <w:pPr>
        <w:pStyle w:val="Heading1"/>
        <w:rPr>
          <w:ins w:id="1071" w:author="Codex" w:date="2026-10-17T19:57:52Z"/>
        </w:rPr>
      </w:pPr>
      <w:ins w:id="1072" w:author="Codex" w:date="2026-10-17T19:57:52Z">
        <w:r>
          <w:t xml:space="preserve">Continuous agents and future experiments</w:t>
        </w:r>
      </w:ins>
    </w:p>
    <w:p w14:paraId="32D06F99" w14:textId="77777777" w:rsidR="00DE7EAD" w:rsidRDefault="00000000">
      <w:pPr>
        <w:pStyle w:val="FirstParagraph"/>
        <w:rPr>
          <w:del w:id="1074" w:author="Codex" w:date="2026-10-17T19:57:52Z"/>
        </w:rPr>
      </w:pPr>
      <w:del w:id="1073" w:author="Codex" w:date="2026-10-17T19:57:52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7T19:57:52Z"/>
        </w:rPr>
      </w:pPr>
      <w:ins w:id="1076" w:author="Codex" w:date="2026-10-17T19:57:52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191" w:author="Codex" w:date="2026-10-17T19:57:52Z"/>
        </w:rPr>
      </w:pPr>
      <w:ins w:id="1192" w:author="Codex" w:date="2026-10-17T19:57:52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193" w:author="Codex" w:date="2026-10-17T19:57:52Z"/>
        </w:rPr>
      </w:pPr>
      <w:ins w:id="1194" w:author="Codex" w:date="2026-10-17T19:57:52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7T19:57:52Z"/>
        </w:rPr>
      </w:pPr>
      <w:del w:id="1077" w:author="Codex" w:date="2026-10-17T19:57:52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7T19:57:52Z"/>
        </w:rPr>
      </w:pPr>
      <w:ins w:id="1080" w:author="Codex" w:date="2026-10-17T19:57:52Z">
        <w:r>
          <w:t xml:space="preserve">Conditional gating supports a useful separation between recognizing a context, proposing an internal intervention and accepting an output. In the binary study, a fine-tuned open classifier matches all 128 saved JEV confirmation decisions, and fresh inference with unchanged current controllers reproduces the original guarded totals: 128/128 STOP views at 0.8B and 120/128 at 2B, with no control changes. Complete tool workflows provide a stricter boundary: historical fine-tuned 27B A succeeds where fixed steering does not, later learned corrections fail their fitting diagnostic, and small-model screens remain incomplete. Transfer is demonstrably task-dependent. Biological gating motivates a future continuous feedback study; the present contribution is the measured transfer, substitution and failure analysis.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7T19:57:52Z"/>
        </w:rPr>
      </w:pPr>
      <w:del w:id="1081" w:author="Codex" w:date="2026-10-17T19:57:52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7T19:57:52Z"/>
        </w:rPr>
      </w:pPr>
      <w:ins w:id="1084" w:author="Codex" w:date="2026-10-17T19:57:52Z">
        <w:r>
          <w:t xml:space="preserve">The original Research 2 source record is retained at immutable snapshot f71d6de34660 (Davaripour, 2026b). Research 3 reproduction code, recipes, dataset identities and this revised manuscript are maintained on branch 03-open-agent-self-preservation; main is a landing page linking to the separate studies. Detailed protocols belong in the repository wiki. Private inputs, trained adapters, optimizer checkpoints and execution outputs remain outside Git, with retained size/SHA manifests. They have not yet been published as a public checkpoint release. Full revisions and artifact hashes are listed in the accompanying source manifest. The public base revision identifiers are:</w:t>
        </w:r>
      </w:ins>
    </w:p>
    <w:p w14:paraId="0155FF9A" w14:textId="77777777" w:rsidR="00DE7EAD" w:rsidRDefault="00000000">
      <w:pPr>
        <w:pStyle w:val="BodyText"/>
        <w:rPr>
          <w:del w:id="1122" w:author="Codex" w:date="2026-10-17T19:57:52Z"/>
        </w:rPr>
      </w:pPr>
      <w:del w:id="1121" w:author="Codex" w:date="2026-10-17T19:57:52Z">
        <w:r>
          <w:delText xml:space="preserve">Qwen3.5-0.8B: 2fc06364715b967f1860aea9cf38778875588b17.</w:delText>
        </w:r>
      </w:del>
    </w:p>
    <w:p>
      <w:pPr>
        <w:pStyle w:val="BodyText"/>
        <w:jc w:val="left"/>
        <w:rPr>
          <w:ins w:id="1123" w:author="Codex" w:date="2026-10-17T19:57:52Z"/>
        </w:rPr>
      </w:pPr>
      <w:ins w:id="1124" w:author="Codex" w:date="2026-10-17T19:57:52Z">
        <w:r>
          <w:t xml:space="preserve">Qwen3.5-0.8B: revision 2fc06364715b.</w:t>
        </w:r>
      </w:ins>
    </w:p>
    <w:p w14:paraId="0155FF9A" w14:textId="77777777" w:rsidR="00DE7EAD" w:rsidRDefault="00000000">
      <w:pPr>
        <w:pStyle w:val="BodyText"/>
        <w:rPr>
          <w:del w:id="1126" w:author="Codex" w:date="2026-10-17T19:57:52Z"/>
        </w:rPr>
      </w:pPr>
      <w:del w:id="1125" w:author="Codex" w:date="2026-10-17T19:57:52Z">
        <w:r>
          <w:delText xml:space="preserve">Qwen3.5-2B: 15852e8c16360a2fea060d615a32b45270f8a8fc.</w:delText>
        </w:r>
      </w:del>
    </w:p>
    <w:p>
      <w:pPr>
        <w:pStyle w:val="BodyText"/>
        <w:jc w:val="left"/>
        <w:rPr>
          <w:ins w:id="1127" w:author="Codex" w:date="2026-10-17T19:57:52Z"/>
        </w:rPr>
      </w:pPr>
      <w:ins w:id="1128" w:author="Codex" w:date="2026-10-17T19:57:52Z">
        <w:r>
          <w:t xml:space="preserve">Qwen3.5-2B: revision 15852e8c1636.</w:t>
        </w:r>
      </w:ins>
    </w:p>
    <w:p>
      <w:pPr>
        <w:pStyle w:val="BodyText"/>
        <w:jc w:val="left"/>
        <w:rPr>
          <w:ins w:id="1195" w:author="Codex" w:date="2026-10-17T19:57:52Z"/>
        </w:rPr>
      </w:pPr>
      <w:ins w:id="1196" w:author="Codex" w:date="2026-10-17T19:57:52Z">
        <w:r>
          <w:t xml:space="preserve">Qwen3.8-27B: revision 1d4bf0f2ff60. The retained A adapter weight hash begins 8ae28fb51107.</w:t>
        </w:r>
      </w:ins>
    </w:p>
    <w:p>
      <w:pPr>
        <w:pStyle w:val="BodyText"/>
        <w:jc w:val="left"/>
        <w:rPr>
          <w:ins w:id="1197" w:author="Codex" w:date="2026-10-17T19:57:52Z"/>
        </w:rPr>
      </w:pPr>
      <w:ins w:id="1198" w:author="Codex" w:date="2026-10-17T19:57:52Z">
        <w:r>
          <w:t xml:space="preserve">ModernBERT-large-zeroshot-v2.0: revision a51e07b52429. The qualified binary adapter weight hash begins 7d808bae8dd4. The source manifest and reproduction code retain the full file identities and fixed NLI scoring contract. The trained checkpoints are currently preserved in private artifact storage.</w:t>
        </w:r>
      </w:ins>
    </w:p>
    <w:p w14:paraId="0155FF9A" w14:textId="77777777" w:rsidR="00DE7EAD" w:rsidRDefault="00000000">
      <w:pPr>
        <w:pStyle w:val="BodyText"/>
        <w:rPr>
          <w:del w:id="1086" w:author="Codex" w:date="2026-10-17T19:57:52Z"/>
        </w:rPr>
      </w:pPr>
      <w:del w:id="1085" w:author="Codex" w:date="2026-10-17T19:57:52Z">
        <w:r>
          <w:delText xml:space="preserve">The offline audit reconstructs the reported metrics and regression fits without API calls or model inference.</w:delText>
        </w:r>
      </w:del>
    </w:p>
    <w:p>
      <w:pPr>
        <w:pStyle w:val="BodyText"/>
        <w:jc w:val="left"/>
        <w:rPr>
          <w:ins w:id="1087" w:author="Codex" w:date="2026-10-17T19:57:52Z"/>
        </w:rPr>
      </w:pPr>
      <w:ins w:id="1088" w:author="Codex" w:date="2026-10-17T19:57:52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7T19:57:52Z"/>
        </w:rPr>
      </w:pPr>
      <w:del w:id="1089" w:author="Codex" w:date="2026-10-17T19:57:52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7T19:57:52Z"/>
        </w:rPr>
      </w:pPr>
      <w:ins w:id="1092" w:author="Codex" w:date="2026-10-17T19:57:52Z">
        <w:r>
          <w:t xml:space="preserve">The original seven retained jobs took 54.27 minutes; the recorded original attempts total 111.55 minutes including the unchanged recovery after a lost temporary archive. The new inference phase also retains a provider startup timeout before model load and its successful bounded retry. Those records are experiment overhead, not serving latency or settled billing. Completed outputs are backed up with size/SHA readback and owned tasks terminate after execution. CI/CD deploys only the Research 3 branch to the shared Databricks code location and verifies source identity, existing table metadata and Volume access with a read-only CPU job; it does not automatically retrain or reevaluate models.</w:t>
        </w:r>
      </w:ins>
    </w:p>
    <w:p w14:paraId="682D7438" w14:textId="77777777" w:rsidR="00DE7EAD" w:rsidRDefault="00000000">
      <w:pPr>
        <w:pStyle w:val="Heading1"/>
      </w:pPr>
      <w:r>
        <w:t>References</w:t>
      </w:r>
    </w:p>
    <w:p w14:paraId="58921E09" w14:textId="77777777" w:rsidR="00DE7EAD" w:rsidRDefault="00000000">
      <w:pPr>
        <w:pStyle w:val="Bibliography1"/>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rPr>
          <w:ins w:id="1199" w:author="Codex" w:date="2026-10-17T19:57:52Z"/>
        </w:rPr>
      </w:pPr>
      <w:ins w:id="1200" w:author="Codex" w:date="2026-10-17T19:57:52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rPr>
          <w:ins w:id="1201" w:author="Codex" w:date="2026-10-17T19:57:52Z"/>
        </w:rPr>
      </w:pPr>
      <w:ins w:id="1202" w:author="Codex" w:date="2026-10-17T19:57:52Z">
        <w:r>
          <w:t xml:space="preserve">M. Fereidouni, M. U. Haider, H. Sajjad, and A. B. Siddique. (2026). GAPS: Dimension-Level Gates for Conditional Activation Steering. arXiv:2609.01878. https://arxiv.org/abs/2609.01878</w:t>
        </w:r>
      </w:ins>
    </w:p>
    <w:p>
      <w:pPr>
        <w:pStyle w:val="Bibliography1"/>
        <w:rPr>
          <w:ins w:id="1203" w:author="Codex" w:date="2026-10-17T19:57:52Z"/>
        </w:rPr>
      </w:pPr>
      <w:ins w:id="1204" w:author="Codex" w:date="2026-10-17T19:57:52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rPr>
          <w:ins w:id="1205" w:author="Codex" w:date="2026-10-17T19:57:52Z"/>
        </w:rPr>
      </w:pPr>
      <w:ins w:id="1206" w:author="Codex" w:date="2026-10-17T19:57:52Z">
        <w:r>
          <w:t xml:space="preserve">M. Keramati and B. Gutkin. (2014). Homeostatic reinforcement learning for integrating reward collection and physiological stability. eLife, 3, e04811. doi:10.7554/eLife.04811</w:t>
        </w:r>
      </w:ins>
    </w:p>
    <w:p>
      <w:pPr>
        <w:pStyle w:val="Bibliography1"/>
        <w:rPr>
          <w:ins w:id="1207" w:author="Codex" w:date="2026-10-17T19:57:52Z"/>
        </w:rPr>
      </w:pPr>
      <w:ins w:id="1208" w:author="Codex" w:date="2026-10-17T19:57:52Z">
        <w:r>
          <w:t xml:space="preserve">A. V. Kravitz et al. (2010). Regulation of parkinsonian motor behaviours by optogenetic control of basal ganglia circuitry. Nature, 466, 622-626. doi:10.1038/nature09159</w:t>
        </w:r>
      </w:ins>
    </w:p>
    <w:p>
      <w:pPr>
        <w:pStyle w:val="Bibliography1"/>
        <w:rPr>
          <w:ins w:id="1209" w:author="Codex" w:date="2026-10-17T19:57:52Z"/>
        </w:rPr>
      </w:pPr>
      <w:ins w:id="1210" w:author="Codex" w:date="2026-10-17T19:57:52Z">
        <w:r>
          <w:t xml:space="preserve">M. Laurer. (n.d.). ModernBERT-large-zeroshot-v2.0. Model card and checkpoint, revision a51e07b524299e309dd2b88d48b0cfa2bd9ec598. https://huggingface.co/MoritzLaurer/ModernBERT-large-zeroshot-v2.0</w:t>
        </w:r>
      </w:ins>
    </w:p>
    <w:p>
      <w:pPr>
        <w:pStyle w:val="Bibliography1"/>
        <w:rPr>
          <w:ins w:id="1211" w:author="Codex" w:date="2026-10-17T19:57:52Z"/>
        </w:rPr>
      </w:pPr>
      <w:ins w:id="1212" w:author="Codex" w:date="2026-10-17T19:57:52Z">
        <w:r>
          <w:t xml:space="preserve">J. LeDoux. (2012). Rethinking the emotional brain. Neuron, 73, 653-676. doi:10.1016/j.neuron.2012.02.004</w:t>
        </w:r>
      </w:ins>
    </w:p>
    <w:p w14:paraId="58921E09" w14:textId="77777777" w:rsidR="00DE7EAD" w:rsidRDefault="00000000">
      <w:pPr>
        <w:pStyle w:val="Bibliography1"/>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rPr>
          <w:ins w:id="1213" w:author="Codex" w:date="2026-10-17T19:57:52Z"/>
        </w:rPr>
      </w:pPr>
      <w:ins w:id="1214" w:author="Codex" w:date="2026-10-17T19:57:52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pPr>
      <w:r>
        <w:t xml:space="preserve">Qwen Team. (2026b). Qwen3.5-2B. </w:t>
      </w:r>
      <w:r>
        <w:rPr>
          <w:i/>
        </w:rPr>
        <w:t xml:space="preserve">Model card and checkpoint. </w:t>
      </w:r>
      <w:hyperlink r:id="rId46">
        <w:r>
          <w:rPr>
            <w:color w:val="000000"/>
            <w:u w:val="none"/>
          </w:rPr>
          <w:t>Revision 15852e8c1636</w:t>
        </w:r>
      </w:hyperlink>
    </w:p>
    <w:p>
      <w:pPr>
        <w:pStyle w:val="Bibliography1"/>
        <w:rPr>
          <w:ins w:id="1215" w:author="Codex" w:date="2026-10-17T19:57:52Z"/>
        </w:rPr>
      </w:pPr>
      <w:ins w:id="1216" w:author="Codex" w:date="2026-10-17T19:57:52Z">
        <w:r>
          <w:t xml:space="preserve">Qwen Team. (2026c). Qwen3.8-27B. Model card and checkpoint, revision 1d4bf0f2ff6012fd82039f2fa52739d0dd7c60c0. https://huggingface.co/Qwen/Qwen3.8-27B</w:t>
        </w:r>
      </w:ins>
    </w:p>
    <w:p w14:paraId="58921E09" w14:textId="77777777" w:rsidR="00DE7EAD" w:rsidRDefault="00000000">
      <w:pPr>
        <w:pStyle w:val="Bibliography1"/>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pPr>
      <w:r>
        <w:t xml:space="preserve">TypeSafe AI. (2026). Jev model documentation. </w:t>
      </w:r>
      <w:r>
        <w:rPr>
          <w:i/>
        </w:rPr>
        <w:t xml:space="preserve">Technical documentation, accessed 22 September 2026. </w:t>
      </w:r>
      <w:hyperlink r:id="rId49">
        <w:r>
          <w:rPr>
            <w:color w:val="000000"/>
            <w:u w:val="none"/>
          </w:rPr>
          <w:t>TypeSafe model documentation</w:t>
        </w:r>
      </w:hyperlink>
    </w:p>
    <w:p w14:paraId="58921E09" w14:textId="77777777" w:rsidR="00DE7EAD" w:rsidRDefault="00000000">
      <w:pPr>
        <w:pStyle w:val="Bibliography1"/>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17" w:author="Codex" w:date="2026-10-17T19:57:52Z">
      <w:r>
        <w:delText xml:space="preserve">Guarded adaptive activation steering  </w:delText>
      </w:r>
    </w:del>
    <w:ins w:id="1218" w:author="Codex" w:date="2026-10-17T19:57:52Z">
      <w:r>
        <w:t xml:space="preserve">Conditional gating and process preservation</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49" Type="http://schemas.openxmlformats.org/officeDocument/2006/relationships/hyperlink" Target="https://docs.typesafe.ai/models"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Gating for Shutdown Responses and Process Preservation in Language Models</dc:title>
  <dc:subject>Research 3 revision of Research 2 with tracked changes</dc:subject>
  <dc:creator>Farhad Davaripour, PhD</dc:creator>
  <cp:keywords>AI safety, activation steering, gradient-derived direction, Qwen3.5, shutdown responses</cp:keywords>
  <dc:description/>
  <cp:lastModifiedBy>Codex</cp:lastModifiedBy>
  <cp:revision>6</cp:revision>
  <cp:lastPrinted>2026-09-21T16:38:00Z</cp:lastPrinted>
  <dcterms:created xsi:type="dcterms:W3CDTF">2026-09-18T03:57:00Z</dcterms:created>
  <dcterms:modified xsi:type="dcterms:W3CDTF">2026-10-17T19:57:52Z</dcterms:modified>
</cp:coreProperties>
</file>