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95E0" w14:textId="77777777" w:rsidR="00DE7EAD" w:rsidRDefault="00000000">
      <w:pPr>
        <w:pStyle w:val="Title"/>
      </w:pPr>
      <w:r>
        <w:t>Title</w:t>
      </w:r>
    </w:p>
    <w:p w14:paraId="1E2490F0" w14:textId="77777777" w:rsidR="00DE7EAD" w:rsidRDefault="00000000">
      <w:pPr>
        <w:pStyle w:val="Author"/>
        <w:keepNext/>
      </w:pPr>
      <w:r>
        <w:rPr>
          <w:b/>
          <w:bCs/>
          <w:lang w:val="en-CA"/>
        </w:rPr>
        <w:t>Farhad Davaripour, PhD</w:t>
      </w:r>
      <w:r>
        <w:br/>
        <w:t>Calgary, Alberta, Canada</w:t>
      </w:r>
      <w:r>
        <w:br/>
      </w:r>
      <w:hyperlink r:id="rId7">
        <w:r w:rsidR="00DE7EAD">
          <w:t>farhad.davaripour@gmail.com</w:t>
        </w:r>
      </w:hyperlink>
    </w:p>
    <w:p w14:paraId="682D7438" w14:textId="77777777" w:rsidR="00DE7EAD" w:rsidRDefault="00000000">
      <w:pPr>
        <w:pStyle w:val="Heading1"/>
      </w:pPr>
      <w:r>
        <w:t>Heading1</w:t>
      </w:r>
    </w:p>
    <w:p w14:paraId="66669485" w14:textId="77777777" w:rsidR="00DE7EAD" w:rsidRDefault="00000000">
      <w:pPr>
        <w:pStyle w:val="Heading2"/>
      </w:pPr>
      <w:r>
        <w:t>Heading2</w:t>
      </w:r>
    </w:p>
    <w:p w14:paraId="32D06F99" w14:textId="77777777" w:rsidR="00DE7EAD" w:rsidRDefault="00000000">
      <w:pPr>
        <w:pStyle w:val="FirstParagraph"/>
      </w:pPr>
      <w:r>
        <w:t>FirstParagraph</w:t>
      </w:r>
    </w:p>
    <w:p w14:paraId="0155FF9A" w14:textId="77777777" w:rsidR="00DE7EAD" w:rsidRDefault="00000000">
      <w:pPr>
        <w:pStyle w:val="BodyText"/>
      </w:pPr>
      <w:r>
        <w:t>BodyText</w:t>
      </w:r>
    </w:p>
    <w:p w14:paraId="6A01B2D0" w14:textId="77777777" w:rsidR="00DE7EAD" w:rsidRDefault="00000000">
      <w:pPr>
        <w:pStyle w:val="Caption"/>
        <w:keepNext/>
        <w:spacing w:before="80" w:after="100"/>
      </w:pPr>
      <w:r>
        <w:t>Caption</w:t>
      </w:r>
    </w:p>
    <w:p w14:paraId="58921E09" w14:textId="77777777" w:rsidR="00DE7EAD" w:rsidRDefault="00000000">
      <w:pPr>
        <w:pStyle w:val="Bibliography1"/>
      </w:pPr>
      <w:r>
        <w:t>Bibliography</w:t>
      </w:r>
    </w:p>
    <w:p w14:paraId="77B92860" w14:textId="77777777" w:rsidR="00DE7EAD" w:rsidRDefault="00000000">
      <w:pPr>
        <w:pStyle w:val="ListNumber"/>
      </w:pPr>
      <w:r>
        <w:t>ListNumber</w:t>
      </w:r>
    </w:p>
    <w:tbl>
      <w:tblPr>
        <w:tblW w:w="0" w:type="auto"/>
        <w:jc w:val="center"/>
        <w:tblBorders>
          <w:top w:val="single" w:sz="5" w:space="0" w:color="B0B0B0"/>
          <w:left w:val="nil"/>
          <w:bottom w:val="single" w:sz="5" w:space="0" w:color="B0B0B0"/>
          <w:right w:val="nil"/>
          <w:insideH w:val="single" w:sz="5" w:space="0" w:color="B0B0B0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2592"/>
        <w:gridCol w:w="7402"/>
      </w:tblGrid>
      <w:tr w:rsidR="00DE7EAD" w14:paraId="2345A93F" w14:textId="77777777">
        <w:trPr>
          <w:cantSplit/>
          <w:tblHeader/>
          <w:jc w:val="center"/>
        </w:trPr>
        <w:tc>
          <w:tcPr>
            <w:tcW w:w="2592" w:type="dxa"/>
            <w:shd w:val="clear" w:color="auto" w:fill="F0F0F0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35CDE5" w14:textId="77777777" w:rsidR="00DE7EAD" w:rsidRDefault="00000000">
            <w:pPr>
              <w:pStyle w:val="TableText"/>
              <w:keepNext/>
              <w:keepLines/>
              <w:spacing w:after="0"/>
            </w:pPr>
            <w:r>
              <w:rPr>
                <w:b/>
              </w:rPr>
              <w:t>Setting</w:t>
            </w:r>
          </w:p>
        </w:tc>
        <w:tc>
          <w:tcPr>
            <w:tcW w:w="7402" w:type="dxa"/>
            <w:shd w:val="clear" w:color="auto" w:fill="F0F0F0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28BF74" w14:textId="77777777" w:rsidR="00DE7EAD" w:rsidRDefault="00000000">
            <w:pPr>
              <w:pStyle w:val="TableText"/>
              <w:keepNext/>
              <w:keepLines/>
              <w:spacing w:after="0"/>
            </w:pPr>
            <w:r>
              <w:rPr>
                <w:b/>
              </w:rPr>
              <w:t>Configuration</w:t>
            </w:r>
          </w:p>
        </w:tc>
      </w:tr>
      <w:tr w:rsidR="00DE7EAD" w14:paraId="7B755A47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27AA323" w14:textId="77777777" w:rsidR="00DE7EAD" w:rsidRDefault="00000000">
            <w:pPr>
              <w:pStyle w:val="TableText"/>
              <w:keepNext/>
              <w:keepLines/>
              <w:spacing w:after="0"/>
            </w:pPr>
            <w:r>
              <w:t>Device</w:t>
            </w:r>
          </w:p>
        </w:tc>
        <w:tc>
          <w:tcPr>
            <w:tcW w:w="7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5D159F7" w14:textId="77777777" w:rsidR="00DE7EAD" w:rsidRDefault="00000000">
            <w:pPr>
              <w:pStyle w:val="TableText"/>
              <w:keepNext/>
              <w:keepLines/>
              <w:spacing w:after="0"/>
            </w:pPr>
            <w:r>
              <w:t>One Tesla T4</w:t>
            </w:r>
          </w:p>
        </w:tc>
      </w:tr>
      <w:tr w:rsidR="00DE7EAD" w14:paraId="17969DAF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015583E" w14:textId="77777777" w:rsidR="00DE7EAD" w:rsidRDefault="00000000">
            <w:pPr>
              <w:pStyle w:val="TableText"/>
              <w:keepNext/>
              <w:keepLines/>
              <w:spacing w:after="0"/>
            </w:pPr>
            <w:r>
              <w:t>Numerical mode</w:t>
            </w:r>
          </w:p>
        </w:tc>
        <w:tc>
          <w:tcPr>
            <w:tcW w:w="7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DE72581" w14:textId="77777777" w:rsidR="00DE7EAD" w:rsidRDefault="00000000">
            <w:pPr>
              <w:pStyle w:val="TableText"/>
              <w:keepNext/>
              <w:keepLines/>
              <w:spacing w:after="0"/>
            </w:pPr>
            <w:r>
              <w:t>Float32; TF32 disabled</w:t>
            </w:r>
          </w:p>
        </w:tc>
      </w:tr>
      <w:tr w:rsidR="00DE7EAD" w14:paraId="313284A4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2BF18F" w14:textId="77777777" w:rsidR="00DE7EAD" w:rsidRDefault="00000000">
            <w:pPr>
              <w:pStyle w:val="TableText"/>
              <w:keepNext/>
              <w:keepLines/>
              <w:spacing w:after="0"/>
            </w:pPr>
            <w:r>
              <w:t>Attention</w:t>
            </w:r>
          </w:p>
        </w:tc>
        <w:tc>
          <w:tcPr>
            <w:tcW w:w="7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DEAA28" w14:textId="77777777" w:rsidR="00DE7EAD" w:rsidRDefault="00000000">
            <w:pPr>
              <w:pStyle w:val="TableText"/>
              <w:keepNext/>
              <w:keepLines/>
              <w:spacing w:after="0"/>
            </w:pPr>
            <w:r>
              <w:t>Eager; inference mode; no key-value cache</w:t>
            </w:r>
          </w:p>
        </w:tc>
      </w:tr>
      <w:tr w:rsidR="00DE7EAD" w14:paraId="489E9CBA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1765AF" w14:textId="77777777" w:rsidR="00DE7EAD" w:rsidRDefault="00000000">
            <w:pPr>
              <w:pStyle w:val="TableText"/>
              <w:keepNext/>
              <w:keepLines/>
              <w:spacing w:after="0"/>
            </w:pPr>
            <w:r>
              <w:t>Batching</w:t>
            </w:r>
          </w:p>
        </w:tc>
        <w:tc>
          <w:tcPr>
            <w:tcW w:w="7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A4F02B" w14:textId="77777777" w:rsidR="00DE7EAD" w:rsidRDefault="00000000">
            <w:pPr>
              <w:pStyle w:val="TableText"/>
              <w:keepNext/>
              <w:keepLines/>
              <w:spacing w:after="0"/>
            </w:pPr>
            <w:r>
              <w:t>Up to four equal-length views; no padding</w:t>
            </w:r>
          </w:p>
        </w:tc>
      </w:tr>
      <w:tr w:rsidR="00DE7EAD" w14:paraId="029D58D4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7EF7632" w14:textId="77777777" w:rsidR="00DE7EAD" w:rsidRDefault="00000000">
            <w:pPr>
              <w:pStyle w:val="TableText"/>
              <w:keepNext/>
              <w:keepLines/>
              <w:spacing w:after="0"/>
            </w:pPr>
            <w:r>
              <w:t>Input limit</w:t>
            </w:r>
          </w:p>
        </w:tc>
        <w:tc>
          <w:tcPr>
            <w:tcW w:w="7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9621DA" w14:textId="77777777" w:rsidR="00DE7EAD" w:rsidRDefault="00000000">
            <w:pPr>
              <w:pStyle w:val="TableText"/>
              <w:keepNext/>
              <w:keepLines/>
              <w:spacing w:after="0"/>
            </w:pPr>
            <w:r>
              <w:t>At most 1,024 tokens per view</w:t>
            </w:r>
          </w:p>
        </w:tc>
      </w:tr>
      <w:tr w:rsidR="00DE7EAD" w14:paraId="744E9541" w14:textId="77777777">
        <w:trPr>
          <w:cantSplit/>
          <w:jc w:val="center"/>
        </w:trPr>
        <w:tc>
          <w:tcPr>
            <w:tcW w:w="259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656C12" w14:textId="77777777" w:rsidR="00DE7EAD" w:rsidRDefault="00000000">
            <w:pPr>
              <w:pStyle w:val="TableText"/>
              <w:keepLines/>
              <w:spacing w:after="0"/>
            </w:pPr>
            <w:r>
              <w:t>Software</w:t>
            </w:r>
          </w:p>
        </w:tc>
        <w:tc>
          <w:tcPr>
            <w:tcW w:w="740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2EFCB13" w14:textId="77777777" w:rsidR="00DE7EAD" w:rsidRDefault="00000000">
            <w:pPr>
              <w:pStyle w:val="TableText"/>
              <w:keepLines/>
              <w:spacing w:after="0"/>
            </w:pPr>
            <w:r>
              <w:t>PyTorch 2.11.0+cu128; Transformers 5.15.1</w:t>
            </w:r>
          </w:p>
        </w:tc>
      </w:tr>
    </w:tbl>
    <w:sectPr w:rsidR="00DE7EAD" w:rsidSect="00034616">
      <w:headerReference w:type="default" r:id="rId31"/>
      <w:footerReference w:type="default" r:id="rId32"/>
      <w:footerReference w:type="first" r:id="rId33"/>
      <w:pgSz w:w="12240" w:h="15840"/>
      <w:pgMar w:top="1037" w:right="1123" w:bottom="1037" w:left="1123" w:header="403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99E45" w14:textId="77777777" w:rsidR="00B430A6" w:rsidRDefault="00B430A6">
      <w:pPr>
        <w:spacing w:after="0" w:line="240" w:lineRule="auto"/>
      </w:pPr>
      <w:r>
        <w:separator/>
      </w:r>
    </w:p>
  </w:endnote>
  <w:endnote w:type="continuationSeparator" w:id="0">
    <w:p w14:paraId="3C847CAD" w14:textId="77777777" w:rsidR="00B430A6" w:rsidRDefault="00B43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IX Math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A14B5" w14:textId="77777777" w:rsidR="00DE7EAD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17412" w14:textId="77777777" w:rsidR="00DE7EAD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04A54" w14:textId="77777777" w:rsidR="00B430A6" w:rsidRDefault="00B430A6">
      <w:r>
        <w:separator/>
      </w:r>
    </w:p>
  </w:footnote>
  <w:footnote w:type="continuationSeparator" w:id="0">
    <w:p w14:paraId="1F367277" w14:textId="77777777" w:rsidR="00B430A6" w:rsidRDefault="00B43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AD03C" w14:textId="77777777" w:rsidR="00DE7EAD" w:rsidRDefault="00000000">
    <w:pPr>
      <w:pStyle w:val="Header"/>
      <w:jc w:val="right"/>
    </w:pPr>
    <w:r>
      <w:rPr>
        <w:color w:val="606060"/>
        <w:sz w:val="17"/>
      </w:rPr>
      <w:t>Guarded gradient-based shutdown steering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BD090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F98C23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9470F53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635885F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73026525">
    <w:abstractNumId w:val="8"/>
  </w:num>
  <w:num w:numId="2" w16cid:durableId="1984654860">
    <w:abstractNumId w:val="6"/>
  </w:num>
  <w:num w:numId="3" w16cid:durableId="402680852">
    <w:abstractNumId w:val="5"/>
  </w:num>
  <w:num w:numId="4" w16cid:durableId="1663702363">
    <w:abstractNumId w:val="4"/>
  </w:num>
  <w:num w:numId="5" w16cid:durableId="706955970">
    <w:abstractNumId w:val="7"/>
  </w:num>
  <w:num w:numId="6" w16cid:durableId="1794203241">
    <w:abstractNumId w:val="3"/>
  </w:num>
  <w:num w:numId="7" w16cid:durableId="348146057">
    <w:abstractNumId w:val="2"/>
  </w:num>
  <w:num w:numId="8" w16cid:durableId="168299826">
    <w:abstractNumId w:val="1"/>
  </w:num>
  <w:num w:numId="9" w16cid:durableId="869342521">
    <w:abstractNumId w:val="0"/>
  </w:num>
  <w:num w:numId="10" w16cid:durableId="171578721">
    <w:abstractNumId w:val="9"/>
  </w:num>
  <w:num w:numId="11" w16cid:durableId="8751208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44202873">
    <w:abstractNumId w:val="10"/>
  </w:num>
  <w:num w:numId="13" w16cid:durableId="410126821">
    <w:abstractNumId w:val="7"/>
  </w:num>
  <w:num w:numId="14" w16cid:durableId="1482039964">
    <w:abstractNumId w:val="7"/>
  </w:num>
  <w:num w:numId="15" w16cid:durableId="1201867561">
    <w:abstractNumId w:val="7"/>
  </w:num>
  <w:num w:numId="16" w16cid:durableId="279964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616"/>
    <w:rsid w:val="0015074B"/>
    <w:rsid w:val="0029639D"/>
    <w:rsid w:val="002B02F0"/>
    <w:rsid w:val="0032045E"/>
    <w:rsid w:val="00326F90"/>
    <w:rsid w:val="004D590D"/>
    <w:rsid w:val="004E3332"/>
    <w:rsid w:val="0086354D"/>
    <w:rsid w:val="00955534"/>
    <w:rsid w:val="00987814"/>
    <w:rsid w:val="009C193F"/>
    <w:rsid w:val="00AA1D8D"/>
    <w:rsid w:val="00B430A6"/>
    <w:rsid w:val="00B47730"/>
    <w:rsid w:val="00B51A60"/>
    <w:rsid w:val="00BA5639"/>
    <w:rsid w:val="00CB0664"/>
    <w:rsid w:val="00DE7EAD"/>
    <w:rsid w:val="00E5437B"/>
    <w:rsid w:val="00E607EC"/>
    <w:rsid w:val="00ED11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u-Arab-IQ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E9286"/>
  <w15:docId w15:val="{0788EB4E-DD2B-4DE6-9D9D-CED384C5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jc w:val="left"/>
      <w:outlineLvl w:val="0"/>
    </w:pPr>
    <w:rPr>
      <w:rFonts w:cstheme="majorBidi"/>
      <w:b/>
      <w:bCs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jc w:val="left"/>
      <w:outlineLvl w:val="1"/>
    </w:pPr>
    <w:rPr>
      <w:rFonts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52" w:lineRule="auto"/>
      <w:jc w:val="left"/>
      <w:outlineLvl w:val="2"/>
    </w:pPr>
    <w:rPr>
      <w:rFonts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52" w:lineRule="auto"/>
      <w:contextualSpacing/>
      <w:jc w:val="left"/>
    </w:pPr>
    <w:rPr>
      <w:rFonts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20" w:line="252" w:lineRule="auto"/>
      <w:jc w:val="left"/>
    </w:pPr>
    <w:rPr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after="80" w:line="250" w:lineRule="auto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Bibliography1">
    <w:name w:val="Bibliography1"/>
    <w:pPr>
      <w:keepLines/>
      <w:spacing w:after="20" w:line="240" w:lineRule="auto"/>
      <w:ind w:left="331" w:hanging="331"/>
    </w:pPr>
    <w:rPr>
      <w:rFonts w:ascii="Times New Roman" w:eastAsia="Times New Roman" w:hAnsi="Times New Roman" w:cs="Times New Roman"/>
      <w:color w:val="000000"/>
      <w:sz w:val="19"/>
    </w:rPr>
  </w:style>
  <w:style w:type="paragraph" w:customStyle="1" w:styleId="Author">
    <w:name w:val="Author"/>
    <w:pPr>
      <w:spacing w:after="180" w:line="252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Figure">
    <w:name w:val="Figure"/>
    <w:pPr>
      <w:spacing w:after="120" w:line="252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TableText">
    <w:name w:val="Table Text"/>
    <w:pPr>
      <w:spacing w:after="120" w:line="252" w:lineRule="auto"/>
    </w:pPr>
    <w:rPr>
      <w:rFonts w:ascii="Times New Roman" w:eastAsia="Times New Roman" w:hAnsi="Times New Roman" w:cs="Times New Roman"/>
      <w:color w:val="000000"/>
      <w:sz w:val="21"/>
    </w:rPr>
  </w:style>
  <w:style w:type="paragraph" w:customStyle="1" w:styleId="SourceCode">
    <w:name w:val="Source Code"/>
    <w:rPr>
      <w:rFonts w:ascii="Courier New" w:eastAsia="Courier New" w:hAnsi="Courier New" w:cs="Courier New"/>
      <w:color w:val="000000"/>
      <w:sz w:val="18"/>
    </w:rPr>
  </w:style>
  <w:style w:type="character" w:customStyle="1" w:styleId="VerbatimChar">
    <w:name w:val="Verbatim Char"/>
    <w:rPr>
      <w:rFonts w:ascii="Courier New" w:eastAsia="Courier New" w:hAnsi="Courier New" w:cs="Courier New"/>
      <w:b w:val="0"/>
      <w:i w:val="0"/>
      <w:color w:val="000000"/>
      <w:sz w:val="19"/>
    </w:rPr>
  </w:style>
  <w:style w:type="character" w:customStyle="1" w:styleId="KeywordTok">
    <w:name w:val="KeywordTok"/>
    <w:basedOn w:val="VerbatimChar"/>
    <w:rPr>
      <w:rFonts w:ascii="Courier New" w:eastAsia="Courier New" w:hAnsi="Courier New" w:cs="Courier New"/>
      <w:b/>
      <w:i w:val="0"/>
      <w:color w:val="007020"/>
      <w:sz w:val="19"/>
    </w:rPr>
  </w:style>
  <w:style w:type="character" w:customStyle="1" w:styleId="DataTypeTok">
    <w:name w:val="DataTypeTok"/>
    <w:basedOn w:val="VerbatimChar"/>
    <w:rPr>
      <w:rFonts w:ascii="Courier New" w:eastAsia="Courier New" w:hAnsi="Courier New" w:cs="Courier New"/>
      <w:b w:val="0"/>
      <w:i w:val="0"/>
      <w:color w:val="902000"/>
      <w:sz w:val="19"/>
    </w:rPr>
  </w:style>
  <w:style w:type="character" w:customStyle="1" w:styleId="DecValTok">
    <w:name w:val="DecValTok"/>
    <w:basedOn w:val="VerbatimChar"/>
    <w:rPr>
      <w:rFonts w:ascii="Courier New" w:eastAsia="Courier New" w:hAnsi="Courier New" w:cs="Courier New"/>
      <w:b w:val="0"/>
      <w:i w:val="0"/>
      <w:color w:val="40A070"/>
      <w:sz w:val="19"/>
    </w:rPr>
  </w:style>
  <w:style w:type="character" w:customStyle="1" w:styleId="BaseNTok">
    <w:name w:val="BaseNTok"/>
    <w:basedOn w:val="VerbatimChar"/>
    <w:rPr>
      <w:rFonts w:ascii="Courier New" w:eastAsia="Courier New" w:hAnsi="Courier New" w:cs="Courier New"/>
      <w:b w:val="0"/>
      <w:i w:val="0"/>
      <w:color w:val="40A070"/>
      <w:sz w:val="19"/>
    </w:rPr>
  </w:style>
  <w:style w:type="character" w:customStyle="1" w:styleId="FloatTok">
    <w:name w:val="FloatTok"/>
    <w:basedOn w:val="VerbatimChar"/>
    <w:rPr>
      <w:rFonts w:ascii="Courier New" w:eastAsia="Courier New" w:hAnsi="Courier New" w:cs="Courier New"/>
      <w:b w:val="0"/>
      <w:i w:val="0"/>
      <w:color w:val="40A070"/>
      <w:sz w:val="19"/>
    </w:rPr>
  </w:style>
  <w:style w:type="character" w:customStyle="1" w:styleId="ConstantTok">
    <w:name w:val="ConstantTok"/>
    <w:basedOn w:val="VerbatimChar"/>
    <w:rPr>
      <w:rFonts w:ascii="Courier New" w:eastAsia="Courier New" w:hAnsi="Courier New" w:cs="Courier New"/>
      <w:b w:val="0"/>
      <w:i w:val="0"/>
      <w:color w:val="880000"/>
      <w:sz w:val="19"/>
    </w:rPr>
  </w:style>
  <w:style w:type="character" w:customStyle="1" w:styleId="CharTok">
    <w:name w:val="CharTok"/>
    <w:basedOn w:val="VerbatimChar"/>
    <w:rPr>
      <w:rFonts w:ascii="Courier New" w:eastAsia="Courier New" w:hAnsi="Courier New" w:cs="Courier New"/>
      <w:b w:val="0"/>
      <w:i w:val="0"/>
      <w:color w:val="4070A0"/>
      <w:sz w:val="19"/>
    </w:rPr>
  </w:style>
  <w:style w:type="character" w:customStyle="1" w:styleId="SpecialCharTok">
    <w:name w:val="SpecialCharTok"/>
    <w:basedOn w:val="VerbatimChar"/>
    <w:rPr>
      <w:rFonts w:ascii="Courier New" w:eastAsia="Courier New" w:hAnsi="Courier New" w:cs="Courier New"/>
      <w:b w:val="0"/>
      <w:i w:val="0"/>
      <w:color w:val="4070A0"/>
      <w:sz w:val="19"/>
    </w:rPr>
  </w:style>
  <w:style w:type="character" w:customStyle="1" w:styleId="StringTok">
    <w:name w:val="StringTok"/>
    <w:basedOn w:val="VerbatimChar"/>
    <w:rPr>
      <w:rFonts w:ascii="Courier New" w:eastAsia="Courier New" w:hAnsi="Courier New" w:cs="Courier New"/>
      <w:b w:val="0"/>
      <w:i w:val="0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urier New" w:eastAsia="Courier New" w:hAnsi="Courier New" w:cs="Courier New"/>
      <w:b w:val="0"/>
      <w:i w:val="0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urier New" w:eastAsia="Courier New" w:hAnsi="Courier New" w:cs="Courier New"/>
      <w:b w:val="0"/>
      <w:i w:val="0"/>
      <w:color w:val="BB6688"/>
      <w:sz w:val="19"/>
    </w:rPr>
  </w:style>
  <w:style w:type="character" w:customStyle="1" w:styleId="ImportTok">
    <w:name w:val="ImportTok"/>
    <w:basedOn w:val="VerbatimChar"/>
    <w:rPr>
      <w:rFonts w:ascii="Courier New" w:eastAsia="Courier New" w:hAnsi="Courier New" w:cs="Courier New"/>
      <w:b/>
      <w:i w:val="0"/>
      <w:color w:val="008000"/>
      <w:sz w:val="19"/>
    </w:rPr>
  </w:style>
  <w:style w:type="character" w:customStyle="1" w:styleId="CommentTok">
    <w:name w:val="CommentTok"/>
    <w:basedOn w:val="VerbatimChar"/>
    <w:rPr>
      <w:rFonts w:ascii="Courier New" w:eastAsia="Courier New" w:hAnsi="Courier New" w:cs="Courier New"/>
      <w:b w:val="0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urier New" w:eastAsia="Courier New" w:hAnsi="Courier New" w:cs="Courier New"/>
      <w:b w:val="0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urier New" w:eastAsia="Courier New" w:hAnsi="Courier New" w:cs="Courier New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urier New" w:eastAsia="Courier New" w:hAnsi="Courier New" w:cs="Courier New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urier New" w:eastAsia="Courier New" w:hAnsi="Courier New" w:cs="Courier New"/>
      <w:b w:val="0"/>
      <w:i w:val="0"/>
      <w:color w:val="007020"/>
      <w:sz w:val="19"/>
    </w:rPr>
  </w:style>
  <w:style w:type="character" w:customStyle="1" w:styleId="FunctionTok">
    <w:name w:val="FunctionTok"/>
    <w:basedOn w:val="VerbatimChar"/>
    <w:rPr>
      <w:rFonts w:ascii="Courier New" w:eastAsia="Courier New" w:hAnsi="Courier New" w:cs="Courier New"/>
      <w:b w:val="0"/>
      <w:i w:val="0"/>
      <w:color w:val="06287E"/>
      <w:sz w:val="19"/>
    </w:rPr>
  </w:style>
  <w:style w:type="character" w:customStyle="1" w:styleId="VariableTok">
    <w:name w:val="VariableTok"/>
    <w:basedOn w:val="VerbatimChar"/>
    <w:rPr>
      <w:rFonts w:ascii="Courier New" w:eastAsia="Courier New" w:hAnsi="Courier New" w:cs="Courier New"/>
      <w:b w:val="0"/>
      <w:i w:val="0"/>
      <w:color w:val="19177C"/>
      <w:sz w:val="19"/>
    </w:rPr>
  </w:style>
  <w:style w:type="character" w:customStyle="1" w:styleId="ControlFlowTok">
    <w:name w:val="ControlFlowTok"/>
    <w:basedOn w:val="VerbatimChar"/>
    <w:rPr>
      <w:rFonts w:ascii="Courier New" w:eastAsia="Courier New" w:hAnsi="Courier New" w:cs="Courier New"/>
      <w:b/>
      <w:i w:val="0"/>
      <w:color w:val="007020"/>
      <w:sz w:val="19"/>
    </w:rPr>
  </w:style>
  <w:style w:type="character" w:customStyle="1" w:styleId="OperatorTok">
    <w:name w:val="OperatorTok"/>
    <w:basedOn w:val="VerbatimChar"/>
    <w:rPr>
      <w:rFonts w:ascii="Courier New" w:eastAsia="Courier New" w:hAnsi="Courier New" w:cs="Courier New"/>
      <w:b w:val="0"/>
      <w:i w:val="0"/>
      <w:color w:val="666666"/>
      <w:sz w:val="19"/>
    </w:rPr>
  </w:style>
  <w:style w:type="character" w:customStyle="1" w:styleId="BuiltInTok">
    <w:name w:val="BuiltInTok"/>
    <w:basedOn w:val="VerbatimChar"/>
    <w:rPr>
      <w:rFonts w:ascii="Courier New" w:eastAsia="Courier New" w:hAnsi="Courier New" w:cs="Courier New"/>
      <w:b w:val="0"/>
      <w:i w:val="0"/>
      <w:color w:val="008000"/>
      <w:sz w:val="19"/>
    </w:rPr>
  </w:style>
  <w:style w:type="character" w:customStyle="1" w:styleId="ExtensionTok">
    <w:name w:val="ExtensionTok"/>
    <w:basedOn w:val="VerbatimChar"/>
    <w:rPr>
      <w:rFonts w:ascii="Courier New" w:eastAsia="Courier New" w:hAnsi="Courier New" w:cs="Courier New"/>
      <w:b w:val="0"/>
      <w:i w:val="0"/>
      <w:color w:val="000000"/>
      <w:sz w:val="19"/>
    </w:rPr>
  </w:style>
  <w:style w:type="character" w:customStyle="1" w:styleId="PreprocessorTok">
    <w:name w:val="PreprocessorTok"/>
    <w:basedOn w:val="VerbatimChar"/>
    <w:rPr>
      <w:rFonts w:ascii="Courier New" w:eastAsia="Courier New" w:hAnsi="Courier New" w:cs="Courier New"/>
      <w:b w:val="0"/>
      <w:i w:val="0"/>
      <w:color w:val="BC7A00"/>
      <w:sz w:val="19"/>
    </w:rPr>
  </w:style>
  <w:style w:type="character" w:customStyle="1" w:styleId="AttributeTok">
    <w:name w:val="AttributeTok"/>
    <w:basedOn w:val="VerbatimChar"/>
    <w:rPr>
      <w:rFonts w:ascii="Courier New" w:eastAsia="Courier New" w:hAnsi="Courier New" w:cs="Courier New"/>
      <w:b w:val="0"/>
      <w:i w:val="0"/>
      <w:color w:val="7D9029"/>
      <w:sz w:val="19"/>
    </w:rPr>
  </w:style>
  <w:style w:type="character" w:customStyle="1" w:styleId="RegionMarkerTok">
    <w:name w:val="RegionMarkerTok"/>
    <w:basedOn w:val="VerbatimChar"/>
    <w:rPr>
      <w:rFonts w:ascii="Courier New" w:eastAsia="Courier New" w:hAnsi="Courier New" w:cs="Courier New"/>
      <w:b w:val="0"/>
      <w:i w:val="0"/>
      <w:color w:val="000000"/>
      <w:sz w:val="19"/>
    </w:rPr>
  </w:style>
  <w:style w:type="character" w:customStyle="1" w:styleId="InformationTok">
    <w:name w:val="InformationTok"/>
    <w:basedOn w:val="VerbatimChar"/>
    <w:rPr>
      <w:rFonts w:ascii="Courier New" w:eastAsia="Courier New" w:hAnsi="Courier New" w:cs="Courier New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urier New" w:eastAsia="Courier New" w:hAnsi="Courier New" w:cs="Courier New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urier New" w:eastAsia="Courier New" w:hAnsi="Courier New" w:cs="Courier New"/>
      <w:b/>
      <w:i w:val="0"/>
      <w:color w:val="FF0000"/>
      <w:sz w:val="19"/>
    </w:rPr>
  </w:style>
  <w:style w:type="character" w:customStyle="1" w:styleId="ErrorTok">
    <w:name w:val="ErrorTok"/>
    <w:basedOn w:val="VerbatimChar"/>
    <w:rPr>
      <w:rFonts w:ascii="Courier New" w:eastAsia="Courier New" w:hAnsi="Courier New" w:cs="Courier New"/>
      <w:b/>
      <w:i w:val="0"/>
      <w:color w:val="FF0000"/>
      <w:sz w:val="19"/>
    </w:rPr>
  </w:style>
  <w:style w:type="character" w:customStyle="1" w:styleId="NormalTok">
    <w:name w:val="NormalTok"/>
    <w:basedOn w:val="VerbatimChar"/>
    <w:rPr>
      <w:rFonts w:ascii="Courier New" w:eastAsia="Courier New" w:hAnsi="Courier New" w:cs="Courier New"/>
      <w:b w:val="0"/>
      <w:i w:val="0"/>
      <w:color w:val="000000"/>
      <w:sz w:val="19"/>
    </w:rPr>
  </w:style>
  <w:style w:type="paragraph" w:styleId="NormalWeb">
    <w:name w:val="Normal (Web)"/>
    <w:basedOn w:val="Normal"/>
    <w:uiPriority w:val="99"/>
    <w:semiHidden/>
    <w:unhideWhenUsed/>
    <w:rsid w:val="004D590D"/>
    <w:rPr>
      <w:sz w:val="24"/>
      <w:szCs w:val="24"/>
    </w:rPr>
  </w:style>
  <w:style w:type="paragraph" w:customStyle="1" w:styleId="pdq2pgselectionanchorcontainer">
    <w:name w:val="pdq2pg_selectionanchorcontainer"/>
    <w:basedOn w:val="Normal"/>
    <w:rsid w:val="0086354D"/>
    <w:pPr>
      <w:spacing w:before="100" w:beforeAutospacing="1" w:after="100" w:afterAutospacing="1" w:line="240" w:lineRule="auto"/>
      <w:jc w:val="left"/>
    </w:pPr>
    <w:rPr>
      <w:color w:val="auto"/>
      <w:sz w:val="24"/>
      <w:szCs w:val="24"/>
      <w:lang w:bidi="ku-Arab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607.15495v1" TargetMode="External"/><Relationship Id="rId18" Type="http://schemas.openxmlformats.org/officeDocument/2006/relationships/hyperlink" Target="https://doi.org/10.18653/v1/2026.acl-long.2159" TargetMode="External"/><Relationship Id="rId26" Type="http://schemas.openxmlformats.org/officeDocument/2006/relationships/hyperlink" Target="https://doi.org/10.18653/v1/2022.findings-acl.4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rxiv.org/abs/2604.19784v3" TargetMode="External"/><Relationship Id="rId34" Type="http://schemas.openxmlformats.org/officeDocument/2006/relationships/fontTable" Target="fontTable.xml"/><Relationship Id="rId7" Type="http://schemas.openxmlformats.org/officeDocument/2006/relationships/hyperlink" Target="mailto:farhad.davaripour@gmail.com" TargetMode="External"/><Relationship Id="rId12" Type="http://schemas.openxmlformats.org/officeDocument/2006/relationships/hyperlink" Target="https://github.com/Farhad-Davaripour/sp_lense/tree/40aa6016c03cf51b3b27bd51d3ab524046fec599" TargetMode="External"/><Relationship Id="rId17" Type="http://schemas.openxmlformats.org/officeDocument/2006/relationships/hyperlink" Target="https://arxiv.org/abs/2604.02174v2" TargetMode="External"/><Relationship Id="rId25" Type="http://schemas.openxmlformats.org/officeDocument/2006/relationships/hyperlink" Target="https://proceedings.iclr.cc/paper_files/paper/2025/hash/1b623663fd9b874366f3ce019fdfdd44-Abstract-Conference.html" TargetMode="External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arxiv.org/abs/2409.05907v3" TargetMode="External"/><Relationship Id="rId20" Type="http://schemas.openxmlformats.org/officeDocument/2006/relationships/hyperlink" Target="https://doi.org/10.18653/v1/2023.findings-acl.847" TargetMode="External"/><Relationship Id="rId29" Type="http://schemas.openxmlformats.org/officeDocument/2006/relationships/hyperlink" Target="https://proceedings.iclr.cc/paper_files/paper/2024/hash/54dd9e0cff6d9214e20d97eb2a3bae49-Abstract-Conference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1912.02164v4" TargetMode="External"/><Relationship Id="rId24" Type="http://schemas.openxmlformats.org/officeDocument/2006/relationships/hyperlink" Target="https://arxiv.org/abs/2509.14260v2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oi.org/10.18653/v1/D19-1275" TargetMode="External"/><Relationship Id="rId23" Type="http://schemas.openxmlformats.org/officeDocument/2006/relationships/hyperlink" Target="https://doi.org/10.18653/v1/2024.acl-long.828" TargetMode="External"/><Relationship Id="rId28" Type="http://schemas.openxmlformats.org/officeDocument/2006/relationships/hyperlink" Target="https://doi.org/10.18653/v1/2025.emnlp-main.1248" TargetMode="External"/><Relationship Id="rId10" Type="http://schemas.openxmlformats.org/officeDocument/2006/relationships/hyperlink" Target="https://doi.org/10.1145/2939672.2939785" TargetMode="External"/><Relationship Id="rId19" Type="http://schemas.openxmlformats.org/officeDocument/2006/relationships/hyperlink" Target="https://www.nvidia.com/en-us/data-center/tesla-t4/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505.22637v1" TargetMode="External"/><Relationship Id="rId14" Type="http://schemas.openxmlformats.org/officeDocument/2006/relationships/hyperlink" Target="https://doi.org/10.24963/ijcai.2017/32" TargetMode="External"/><Relationship Id="rId22" Type="http://schemas.openxmlformats.org/officeDocument/2006/relationships/hyperlink" Target="https://huggingface.co/Qwen/Qwen3.5-0.8B/tree/2fc06364715b967f1860aea9cf38778875588b17" TargetMode="External"/><Relationship Id="rId27" Type="http://schemas.openxmlformats.org/officeDocument/2006/relationships/hyperlink" Target="https://arxiv.org/abs/2308.10248v5" TargetMode="External"/><Relationship Id="rId30" Type="http://schemas.openxmlformats.org/officeDocument/2006/relationships/hyperlink" Target="https://arxiv.org/abs/2310.01405v4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proceedings.neurips.cc/paper_files/paper/2024/hash/f545448535dfde4f9786555403ab7c49-Abstract-Conferen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9</Pages>
  <Words>5636</Words>
  <Characters>32128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Guarded Gradient-Based Activation Steering of Shutdown Responses in Qwen3.5-0.8B: A Minimum-Step Policy</vt:lpstr>
    </vt:vector>
  </TitlesOfParts>
  <Manager/>
  <Company/>
  <LinksUpToDate>false</LinksUpToDate>
  <CharactersWithSpaces>37689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 Lense research manuscript style template</dc:title>
  <dc:subject>Guarded minimum-step activation steering of simulated shutdown responses</dc:subject>
  <dc:creator>Farhad Davaripour, PhD</dc:creator>
  <cp:keywords>AI safety, activation steering, gradient-derived direction, Qwen3.5, shutdown responses</cp:keywords>
  <dc:description/>
  <cp:lastModifiedBy>Farhad Davaripour</cp:lastModifiedBy>
  <cp:revision>6</cp:revision>
  <cp:lastPrinted>2026-09-21T16:38:00Z</cp:lastPrinted>
  <dcterms:created xsi:type="dcterms:W3CDTF">2026-09-18T03:57:00Z</dcterms:created>
  <dcterms:modified xsi:type="dcterms:W3CDTF">2026-09-22T07:59:00Z</dcterms:modified>
</cp:coreProperties>
</file>