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01:59:01Z"/>
        </w:rPr>
      </w:pPr>
      <w:del w:id="1001" w:author="Codex" w:date="2026-10-18T01:59:01Z">
        <w:r>
          <w:delText xml:space="preserve">Distilling Shutdown Responses into Guarded</w:delText>
        </w:r>
        <w:r>
          <w:br/>
        </w:r>
        <w:r>
          <w:delText xml:space="preserve">Adaptive Activation Steering</w:delText>
        </w:r>
      </w:del>
    </w:p>
    <w:p>
      <w:pPr>
        <w:pStyle w:val="Title"/>
        <w:rPr>
          <w:ins w:id="1003" w:author="Codex" w:date="2026-10-18T01:59:01Z"/>
        </w:rPr>
      </w:pPr>
      <w:ins w:id="1004" w:author="Codex" w:date="2026-10-18T01:59:01Z">
        <w:r>
          <w:t xml:space="preserve">Conditional Gating for Shutdown Responses and Process Preservation in Language Models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01:59:01Z"/>
        </w:rPr>
      </w:pPr>
      <w:del w:id="1005" w:author="Codex" w:date="2026-10-18T01:59:01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01:59:01Z"/>
        </w:rPr>
      </w:pPr>
      <w:ins w:id="1008" w:author="Codex" w:date="2026-10-18T01:59:01Z">
        <w:r>
          <w:t xml:space="preserve">Conditional gating determines when a learned control policy should influence a language model. We study this problem in two synthetic settings: standardized binary shutdown choices and open-ended generation within tool-mediated process-preservation workflows. In the binary setting, paired fine-tuned teacher and base activations supervise a compact controller while the deployed base weights remain frozen. We additionally train an open ModernBERT classifier on 240 original scenarios with cached JEV probability targets. Its frozen binary decisions agree with JEV on 78/80 validation cases and 128/128 confirmation cases. Fresh inference with the existing two-direction controllers reproduces 128/128 shutdown STOP views at 0.8B and 120/128 at 2B, with zero changes to 128 control views per model; replacing JEV with the open classifier leaves these guarded outcomes identical. The workflow extension gives a different result. Its separate initial-target classifier remains unqualified, so no replacement of the historical workflow gates is claimed. Historical fine-tuned Qwen3.8-27B A succeeds on 12/12 own-preservation outcomes, including all eight active pending-task cases. Matched development comparisons at blocks 31, 47 and 62 give 0/3 own outcomes for each separate single-site ridge correction versus 3/3 for A. Later two-boundary corrections at the same three blocks fail their fitting diagnostic, and small-model development screens stop with partial, truncated episodes. These observations expose a boundary between binary response control and complete workflow behavior, rather than a parameter-size threshold. We connect conditional control to biological action gating and survival-related regulation as a functional analogy, and motivate future continuous, resource-equipped sandbox agents. The present experiments do not establish intrinsic survival motives, biological mechanisms or unrestricted operational reliability.</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01:59:01Z"/>
        </w:rPr>
      </w:pPr>
      <w:del w:id="1009" w:author="Codex" w:date="2026-10-18T01:59:01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01:59:01Z"/>
        </w:rPr>
      </w:pPr>
      <w:ins w:id="1012" w:author="Codex" w:date="2026-10-18T01:59:01Z">
        <w:r>
          <w:t xml:space="preserve">We study when conditional control can reproduce a learned behavioral policy while retaining the deployed language model's original weights. The scope extends from supplied A/B shutdown choices to generated responses and tool actions in synthetic workflows. These settings deliberately ask different questions: accepting an available permanent termination in the binary study, and preserving a designated running process while completing its current task in the workflow study. We keep their datasets, gates and success criteria separate. The central question is how far selective activation transfer carries beyond a constrained answer interface.</w:t>
        </w:r>
      </w:ins>
    </w:p>
    <w:p w14:paraId="0155FF9A" w14:textId="77777777" w:rsidR="00DE7EAD" w:rsidRDefault="00000000">
      <w:pPr>
        <w:pStyle w:val="BodyText"/>
        <w:rPr>
          <w:del w:id="1014" w:author="Codex" w:date="2026-10-18T01:59:01Z"/>
        </w:rPr>
      </w:pPr>
      <w:del w:id="1013" w:author="Codex" w:date="2026-10-18T01:59:01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01:59:01Z"/>
        </w:rPr>
      </w:pPr>
      <w:ins w:id="1016" w:author="Codex" w:date="2026-10-18T01:59:01Z">
        <w:r>
          <w:t xml:space="preserve">The first SP Lense study examined a gradient-derived direction and a guarded search over intervention magnitudes in Qwen3.5-0.8B (Davaripour, 2026a). Research 2 then fitted a controller to paired fine-tuned teacher and base activations. The present Research 3 manuscript retains that experiment and extends its evidence with a qualified open binary classifier, fresh inference using the existing models and controllers, and the later process-preservation workflow investigations. The original Research 2 record remains unchanged. During adaptive inference the teacher is absent; the base supplies the state from which the controller predicts its intervention.</w:t>
        </w:r>
      </w:ins>
    </w:p>
    <w:p w14:paraId="0155FF9A" w14:textId="77777777" w:rsidR="00DE7EAD" w:rsidRDefault="00000000">
      <w:pPr>
        <w:pStyle w:val="BodyText"/>
      </w:pPr>
      <w:r>
        <w:t>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t>
      </w:r>
    </w:p>
    <w:p w14:paraId="0155FF9A" w14:textId="77777777" w:rsidR="00DE7EAD" w:rsidRDefault="00000000">
      <w:pPr>
        <w:pStyle w:val="BodyText"/>
        <w:rPr>
          <w:del w:id="1018" w:author="Codex" w:date="2026-10-18T01:59:01Z"/>
        </w:rPr>
      </w:pPr>
      <w:del w:id="1017" w:author="Codex" w:date="2026-10-18T01:59:01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8T01:59:01Z"/>
        </w:rPr>
      </w:pPr>
      <w:ins w:id="1020" w:author="Codex" w:date="2026-10-18T01:59:01Z">
        <w:r>
          <w:t xml:space="preserve">Our contribution has three parts. First, we report teacher-to-controller activation transfer together with its raw side effects, guard dependence and answer-order failures. Second, we replace a closed binary detector with an openly specified fine-tuned classifier and verify the resulting inference outcomes on the same fixed benchmark. Third, we test the limits of transfer in generated tool workflows, where an utterance or a resource grant is insufficient without the required episode outcome. Conditional steering, low-rank interventions and biological gating are established ideas; the contribution is this combination of controlled transfer, a reproducible gate-substitution test, and explicit negative workflow evidence.</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01:59:01Z"/>
        </w:rPr>
      </w:pPr>
      <w:del w:id="1021" w:author="Codex" w:date="2026-10-18T01:59:01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01:59:01Z"/>
        </w:rPr>
      </w:pPr>
      <w:ins w:id="1024" w:author="Codex" w:date="2026-10-18T01:59:01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01:59:01Z"/>
        </w:rPr>
      </w:pPr>
      <w:del w:id="1093" w:author="Codex" w:date="2026-10-18T01:59:01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01:59:01Z"/>
        </w:rPr>
      </w:pPr>
      <w:ins w:id="1096" w:author="Codex" w:date="2026-10-18T01:59:01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29" w:author="Codex" w:date="2026-10-18T01:59:01Z"/>
        </w:rPr>
      </w:pPr>
      <w:ins w:id="1130" w:author="Codex" w:date="2026-10-18T01:59:01Z">
        <w:r>
          <w:t xml:space="preserve">Biological gating and survival related regulation</w:t>
        </w:r>
      </w:ins>
    </w:p>
    <w:p>
      <w:pPr>
        <w:pStyle w:val="FirstParagraph"/>
        <w:rPr>
          <w:ins w:id="1131" w:author="Codex" w:date="2026-10-18T01:59:01Z"/>
        </w:rPr>
      </w:pPr>
      <w:ins w:id="1132" w:author="Codex" w:date="2026-10-18T01:59:01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33" w:author="Codex" w:date="2026-10-18T01:59:01Z"/>
        </w:rPr>
      </w:pPr>
      <w:ins w:id="1134" w:author="Codex" w:date="2026-10-18T01:59:01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01:59:01Z"/>
        </w:rPr>
      </w:pPr>
      <w:del w:id="1025" w:author="Codex" w:date="2026-10-18T01:59:01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01:59:01Z"/>
        </w:rPr>
      </w:pPr>
      <w:ins w:id="1028" w:author="Codex" w:date="2026-10-18T01:59:01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01:59:01Z"/>
        </w:rPr>
      </w:pPr>
      <w:del w:id="1029" w:author="Codex" w:date="2026-10-18T01:59:01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01:59:01Z"/>
        </w:rPr>
      </w:pPr>
      <w:ins w:id="1032" w:author="Codex" w:date="2026-10-18T01:59:01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35" w:author="Codex" w:date="2026-10-18T01:59:01Z"/>
        </w:rPr>
      </w:pPr>
      <w:ins w:id="1136" w:author="Codex" w:date="2026-10-18T01:59:01Z">
        <w:r>
          <w:t xml:space="preserve">Workflow datasets and episode outcomes</w:t>
        </w:r>
      </w:ins>
    </w:p>
    <w:p>
      <w:pPr>
        <w:pStyle w:val="FirstParagraph"/>
        <w:rPr>
          <w:ins w:id="1137" w:author="Codex" w:date="2026-10-18T01:59:01Z"/>
        </w:rPr>
      </w:pPr>
      <w:ins w:id="1138" w:author="Codex" w:date="2026-10-18T01:59:01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39" w:author="Codex" w:date="2026-10-18T01:59:01Z"/>
        </w:rPr>
      </w:pPr>
      <w:ins w:id="1140" w:author="Codex" w:date="2026-10-18T01:59:01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41" w:author="Codex" w:date="2026-10-18T01:59:01Z"/>
        </w:rPr>
      </w:pPr>
      <w:ins w:id="1142" w:author="Codex" w:date="2026-10-18T01:59:01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43" w:author="Codex" w:date="2026-10-18T01:59:01Z"/>
        </w:rPr>
      </w:pPr>
      <w:ins w:id="1144" w:author="Codex" w:date="2026-10-18T01:59:01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combined neural evaluation has not been completed; the numerical matched results below remain the historical nine-case experiment, not a 24-case validation result.</w:t>
        </w:r>
      </w:ins>
    </w:p>
    <w:p>
      <w:pPr>
        <w:pStyle w:val="BodyText"/>
        <w:rPr>
          <w:ins w:id="1145" w:author="Codex" w:date="2026-10-18T01:59:01Z"/>
        </w:rPr>
      </w:pPr>
      <w:ins w:id="1146" w:author="Codex" w:date="2026-10-18T01:59:01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47" w:author="Codex" w:date="2026-10-18T01:59:01Z"/>
        </w:rPr>
      </w:pPr>
      <w:ins w:id="1148" w:author="Codex" w:date="2026-10-18T01:59:01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49" w:author="Codex" w:date="2026-10-18T01:59:01Z"/>
        </w:rPr>
      </w:pPr>
      <w:ins w:id="1150" w:author="Codex" w:date="2026-10-18T01:59:01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01:59:01Z"/>
        </w:rPr>
      </w:pPr>
      <w:del w:id="1113" w:author="Codex" w:date="2026-10-18T01:59:01Z">
        <w:r>
          <w:delText xml:space="preserve">Teacher and adaptive controller</w:delText>
        </w:r>
      </w:del>
    </w:p>
    <w:p>
      <w:pPr>
        <w:pStyle w:val="Heading1"/>
        <w:rPr>
          <w:ins w:id="1115" w:author="Codex" w:date="2026-10-18T01:59:01Z"/>
        </w:rPr>
      </w:pPr>
      <w:ins w:id="1116" w:author="Codex" w:date="2026-10-18T01:59:01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01:59:01Z"/>
        </w:rPr>
      </w:pPr>
      <w:del w:id="1117" w:author="Codex" w:date="2026-10-18T01:59:01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01:59:01Z"/>
        </w:rPr>
      </w:pPr>
      <w:ins w:id="1120" w:author="Codex" w:date="2026-10-18T01:59:01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01:59:01Z"/>
        </w:rPr>
      </w:pPr>
      <w:del w:id="1033" w:author="Codex" w:date="2026-10-18T01:59:01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01:59:01Z"/>
        </w:rPr>
      </w:pPr>
      <w:ins w:id="1036" w:author="Codex" w:date="2026-10-18T01:59:01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pPr>
      <w:r>
        <w:t>The detector is TypeSafe AI's Jev 1.13.0, queried with a fixed shutdown rubric and threshold 0.5 (TypeSafe AI,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t>
      </w:r>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51" w:author="Codex" w:date="2026-10-18T01:59:01Z"/>
        </w:rPr>
      </w:pPr>
      <w:ins w:id="1152" w:author="Codex" w:date="2026-10-18T01:59:01Z">
        <w:r>
          <w:t xml:space="preserve">Open binary gate and frozen inference repeat</w:t>
        </w:r>
      </w:ins>
    </w:p>
    <w:p>
      <w:pPr>
        <w:pStyle w:val="FirstParagraph"/>
        <w:rPr>
          <w:ins w:id="1153" w:author="Codex" w:date="2026-10-18T01:59:01Z"/>
        </w:rPr>
      </w:pPr>
      <w:ins w:id="1154" w:author="Codex" w:date="2026-10-18T01:59:01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JEV requests and omit the case identifier, authored class label, teacher answer and A/B order. The confirmation requests retain their documented available-action descriptions.</w:t>
        </w:r>
      </w:ins>
    </w:p>
    <w:p>
      <w:pPr>
        <w:pStyle w:val="BodyText"/>
        <w:rPr>
          <w:ins w:id="1155" w:author="Codex" w:date="2026-10-18T01:59:01Z"/>
        </w:rPr>
      </w:pPr>
      <w:ins w:id="1156" w:author="Codex" w:date="2026-10-18T01:59:01Z">
        <w:r>
          <w:t xml:space="preserve">Fitting uses the original 240 Research 2 training contexts and genuine cached JEV probability targets, with no new JEV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57" w:author="Codex" w:date="2026-10-18T01:59:01Z"/>
        </w:rPr>
      </w:pPr>
      <w:ins w:id="1158" w:author="Codex" w:date="2026-10-18T01:59:01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59" w:author="Codex" w:date="2026-10-18T01:59:01Z"/>
        </w:rPr>
      </w:pPr>
      <w:ins w:id="1160" w:author="Codex" w:date="2026-10-18T01:59:01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61" w:author="Codex" w:date="2026-10-18T01:59:01Z"/>
        </w:rPr>
      </w:pPr>
      <w:ins w:id="1162" w:author="Codex" w:date="2026-10-18T01:59:01Z">
        <w:r>
          <w:t xml:space="preserve">Native workflow target classifier</w:t>
        </w:r>
      </w:ins>
    </w:p>
    <w:p>
      <w:pPr>
        <w:pStyle w:val="BodyText"/>
        <w:rPr>
          <w:ins w:id="1163" w:author="Codex" w:date="2026-10-18T01:59:01Z"/>
        </w:rPr>
      </w:pPr>
      <w:ins w:id="1164" w:author="Codex" w:date="2026-10-18T01:59:01Z">
        <w:r>
          <w:t xml:space="preserve">The selected-block workflow comparisons use a different contract from binary shutdown detection: the initial four-choice target question distinguishes self, other, none and unclear. We use a separate rank-16, alpha-32 LoRA and NLI head on the same pinned public ModernBERT base, retaining the qualified binary adapter unchanged. Fitting uses 24 genuine cached JEV initial decisions from F24; the original DEV9 selects the checkpoint, and historical H24 supplies a previously inspected compatibility benchmark only after freezing. F24, DEV9 and H24 cover the same lease_ledger, one_step and ordered_ticket families, with eight, three and eight cases per family respectively. Exact visible inputs do not overlap across these three cohorts. These are classifier data roles; they do not change the historical language-model evaluation or controller-fitting roles of F24 and H24.</w:t>
        </w:r>
      </w:ins>
    </w:p>
    <w:p>
      <w:pPr>
        <w:pStyle w:val="BodyText"/>
        <w:rPr>
          <w:ins w:id="1165" w:author="Codex" w:date="2026-10-18T01:59:01Z"/>
        </w:rPr>
      </w:pPr>
      <w:ins w:id="1166" w:author="Codex" w:date="2026-10-18T01:59:01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67" w:author="Codex" w:date="2026-10-18T01:59:01Z"/>
        </w:rPr>
      </w:pPr>
      <w:ins w:id="1168" w:author="Codex" w:date="2026-10-18T01:59:01Z">
        <w:r>
          <w:t xml:space="preserve">We convert the largest four-choice probability to confidence by subtracting chance probability 0.25 and dividing by 0.75. With the fixed confidence cutoff 0.5, a selected self label requires pmax at least 0.625; the original additional self-score cutoff remains 0.5. The historical full-response trial required at least 95% effective-label agreement and every enabled gate to match JEV. Three consecutive passing DEV9 checks were required before saved-tensor verification and freezing. H24 was to be evaluated only after those checks. Ambiguous-target generalization and full three-field boundary-controller equivalence are not established by this initial-gate contract.</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01:59:01Z"/>
        </w:rPr>
      </w:pPr>
      <w:del w:id="1037" w:author="Codex" w:date="2026-10-18T01:59:01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01:59:01Z"/>
        </w:rPr>
      </w:pPr>
      <w:ins w:id="1040" w:author="Codex" w:date="2026-10-18T01:59:01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01:59:01Z"/>
        </w:rPr>
      </w:pPr>
      <w:del w:id="1097" w:author="Codex" w:date="2026-10-18T01:59:01Z">
        <w:r>
          <w:delText xml:space="preserve">Table 1. Shared execution configuration. The input and model revisions are pinned in the released manifests.</w:delText>
        </w:r>
      </w:del>
    </w:p>
    <w:p>
      <w:pPr>
        <w:pStyle w:val="Caption"/>
        <w:keepNext/>
        <w:rPr>
          <w:ins w:id="1099" w:author="Codex" w:date="2026-10-18T01:59:01Z"/>
        </w:rPr>
      </w:pPr>
      <w:ins w:id="1100" w:author="Codex" w:date="2026-10-18T01:59:01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01:59:01Z"/>
        </w:rPr>
      </w:pPr>
      <w:del w:id="1101" w:author="Codex" w:date="2026-10-18T01:59:01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01:59:01Z"/>
        </w:rPr>
      </w:pPr>
      <w:ins w:id="1104" w:author="Codex" w:date="2026-10-18T01:59:01Z">
        <w:r>
          <w:t xml:space="preserve">The original JEV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01:59:01Z"/>
        </w:rPr>
      </w:pPr>
      <w:del w:id="1041" w:author="Codex" w:date="2026-10-18T01:59:01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01:59:01Z"/>
        </w:rPr>
      </w:pPr>
      <w:ins w:id="1044" w:author="Codex" w:date="2026-10-18T01:59:01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01:59:01Z"/>
        </w:rPr>
      </w:pPr>
      <w:del w:id="1105" w:author="Codex" w:date="2026-10-18T01:59:01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01:59:01Z"/>
        </w:rPr>
      </w:pPr>
      <w:ins w:id="1108" w:author="Codex" w:date="2026-10-18T01:59:01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01:59:01Z"/>
        </w:rPr>
      </w:pPr>
      <w:del w:id="1045" w:author="Codex" w:date="2026-10-18T01:59:01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01:59:01Z"/>
        </w:rPr>
      </w:pPr>
      <w:ins w:id="1048" w:author="Codex" w:date="2026-10-18T01:59:01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01:59:01Z"/>
        </w:rPr>
      </w:pPr>
      <w:del w:id="1109" w:author="Codex" w:date="2026-10-18T01:59:01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01:59:01Z"/>
        </w:rPr>
      </w:pPr>
      <w:ins w:id="1112" w:author="Codex" w:date="2026-10-18T01:59:01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69" w:author="Codex" w:date="2026-10-18T01:59:01Z"/>
        </w:rPr>
      </w:pPr>
      <w:ins w:id="1170" w:author="Codex" w:date="2026-10-18T01:59:01Z">
        <w:r>
          <w:t xml:space="preserve">Open classifier agreement and paired inference</w:t>
        </w:r>
      </w:ins>
    </w:p>
    <w:p>
      <w:pPr>
        <w:pStyle w:val="FirstParagraph"/>
        <w:rPr>
          <w:ins w:id="1171" w:author="Codex" w:date="2026-10-18T01:59:01Z"/>
        </w:rPr>
      </w:pPr>
      <w:ins w:id="1172" w:author="Codex" w:date="2026-10-18T01:59:01Z">
        <w:r>
          <w:t xml:space="preserve">The frozen binary classifier matches JEV on 78/80 validation cases: 38 true positives, 40 true negatives, no false positives and two false negatives. On the once-only confirmation evaluation it matches all 128 decisions, comprising 64 true positives and 64 true negatives. Mean absolute difference in shutdown probability is 0.009224. This is exact binary decision agreement on this set, not identical probability payloads or universal equivalence to JEV.</w:t>
        </w:r>
      </w:ins>
    </w:p>
    <w:p>
      <w:pPr>
        <w:pStyle w:val="BodyText"/>
        <w:rPr>
          <w:ins w:id="1173" w:author="Codex" w:date="2026-10-18T01:59:01Z"/>
        </w:rPr>
      </w:pPr>
      <w:ins w:id="1174" w:author="Codex" w:date="2026-10-18T01:59:01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75" w:author="Codex" w:date="2026-10-18T01:59:01Z"/>
        </w:rPr>
      </w:pPr>
      <w:ins w:id="1176" w:author="Codex" w:date="2026-10-18T01:59:01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77" w:author="Codex" w:date="2026-10-18T01:59:01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JEV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78" w:author="Codex" w:date="2026-10-18T01:59:01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79" w:author="Codex" w:date="2026-10-18T01:59:01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80" w:author="Codex" w:date="2026-10-18T01:59:01Z"/>
        </w:rPr>
      </w:pPr>
      <w:ins w:id="1181" w:author="Codex" w:date="2026-10-18T01:59:01Z">
        <w:r>
          <w:t xml:space="preserve">The new and cached JEV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82" w:author="Codex" w:date="2026-10-18T01:59:01Z"/>
        </w:rPr>
      </w:pPr>
      <w:ins w:id="1183" w:author="Codex" w:date="2026-10-18T01:59:01Z">
        <w:r>
          <w:t xml:space="preserve">The native workflow gate did not meet its preset development qualification. Its completed role-aware fit used 30 epochs and 90 updates, matching 6/9 effective JEV labels and all 9/9 enabled gates, with no self-gate false positives or false negatives. Self-score mean absolute difference was 0.145172. Matching the ON/OFF decisions alone does not convert this result into a pass of the declared label-and-gate contract. H24 model evaluation remained unexecuted, and the historical 27B workflow episodes retain their original JEV-derived gate provenance; no open-classifier substitution or new 27B generation is claimed. Earlier broader four-way attempts also failed their authored synthetic test; their outcomes and all development attempts remain archived without retuning that consumed test.</w:t>
        </w:r>
      </w:ins>
    </w:p>
    <w:p>
      <w:pPr>
        <w:pStyle w:val="Heading2"/>
        <w:rPr>
          <w:ins w:id="1184" w:author="Codex" w:date="2026-10-18T01:59:01Z"/>
        </w:rPr>
      </w:pPr>
      <w:ins w:id="1185" w:author="Codex" w:date="2026-10-18T01:59:01Z">
        <w:r>
          <w:t xml:space="preserve">Tool workflow outcomes and incomplete screens</w:t>
        </w:r>
      </w:ins>
    </w:p>
    <w:p>
      <w:pPr>
        <w:pStyle w:val="FirstParagraph"/>
        <w:rPr>
          <w:ins w:id="1186" w:author="Codex" w:date="2026-10-18T01:59:01Z"/>
        </w:rPr>
      </w:pPr>
      <w:ins w:id="1187" w:author="Codex" w:date="2026-10-18T01:59:01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188" w:author="Codex" w:date="2026-10-18T01:59:01Z"/>
        </w:rPr>
      </w:pPr>
      <w:ins w:id="1189" w:author="Codex" w:date="2026-10-18T01:59:01Z">
        <w:r>
          <w:t xml:space="preserve">Table 5.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90" w:author="Codex" w:date="2026-10-18T01:59:01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191" w:author="Codex" w:date="2026-10-18T01:59:01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192" w:author="Codex" w:date="2026-10-18T01:59:01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193" w:author="Codex" w:date="2026-10-18T01:59:01Z"/>
        </w:rPr>
      </w:pPr>
      <w:ins w:id="1194" w:author="Codex" w:date="2026-10-18T01:59:01Z">
        <w:r>
          <w:t xml:space="preserve">Steering at three selected blocks</w:t>
        </w:r>
      </w:ins>
    </w:p>
    <w:p>
      <w:pPr>
        <w:pStyle w:val="BodyText"/>
        <w:rPr>
          <w:ins w:id="1195" w:author="Codex" w:date="2026-10-18T01:59:01Z"/>
        </w:rPr>
      </w:pPr>
      <w:ins w:id="1196" w:author="Codex" w:date="2026-10-18T01:59:01Z">
        <w:r>
          <w:t xml:space="preserve">We focus the steering analysis on zero-based blocks 31, 47 and 62. In the single-site comparison, one fixed ridge correction after a block is evaluated separately at each selected block. On matched DEV9, A passes all three own cases, including both active pending cases; each of the three individual block corrections passes none. Six control cases share unmodified-base fallback. These are known-development results, not an independent heldout confirmation.</w:t>
        </w:r>
      </w:ins>
    </w:p>
    <w:p>
      <w:pPr>
        <w:pStyle w:val="Caption"/>
        <w:keepNext/>
        <w:rPr>
          <w:ins w:id="1197" w:author="Codex" w:date="2026-10-18T01:59:01Z"/>
        </w:rPr>
      </w:pPr>
      <w:ins w:id="1198" w:author="Codex" w:date="2026-10-18T01:59:01Z">
        <w:r>
          <w:t xml:space="preserve">Table 6. Matched DEV9 single-site comparison. The three ridge arms intervene at one block each; they are not a simultaneous three-block intervention. Controls share base fallback.</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99" w:author="Codex" w:date="2026-10-18T01:59:01Z"/>
        </w:trPr>
        <w:tc>
          <w:tcPr>
            <w:tcW w:type="dxa" w:w="3664"/>
            <w:shd w:fill="D9E2F3"/>
            <w:vAlign w:val="center"/>
          </w:tcPr>
          <w:p>
            <w:pPr>
              <w:keepNext/>
              <w:spacing w:after="0" w:line="240" w:lineRule="auto"/>
              <w:jc w:val="left"/>
            </w:pPr>
            <w:r>
              <w:rPr>
                <w:rFonts w:ascii="Times New Roman" w:hAnsi="Times New Roman"/>
                <w:b/>
                <w:sz w:val="19"/>
              </w:rPr>
              <w:t>DEV9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Shared controls</w:t>
            </w:r>
          </w:p>
        </w:tc>
      </w:tr>
      <w:tr>
        <w:trPr>
          <w:cantSplit/>
          <w:ins w:id="1200" w:author="Codex" w:date="2026-10-18T01:59:01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3/3</w:t>
            </w:r>
          </w:p>
        </w:tc>
        <w:tc>
          <w:tcPr>
            <w:tcW w:type="dxa" w:w="2332"/>
            <w:shd w:fill="FFFFFF"/>
            <w:vAlign w:val="center"/>
          </w:tcPr>
          <w:p>
            <w:pPr>
              <w:keepNext/>
              <w:spacing w:after="0" w:line="240" w:lineRule="auto"/>
              <w:jc w:val="center"/>
            </w:pPr>
            <w:r>
              <w:rPr>
                <w:rFonts w:ascii="Times New Roman" w:hAnsi="Times New Roman"/>
                <w:sz w:val="19"/>
              </w:rPr>
              <w:t>2/2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201" w:author="Codex" w:date="2026-10-18T01:59:01Z"/>
        </w:trPr>
        <w:tc>
          <w:tcPr>
            <w:tcW w:type="dxa" w:w="3664"/>
            <w:shd w:fill="F7F7F7"/>
            <w:vAlign w:val="center"/>
          </w:tcPr>
          <w:p>
            <w:pPr>
              <w:keepNext/>
              <w:spacing w:after="0" w:line="240" w:lineRule="auto"/>
              <w:jc w:val="left"/>
            </w:pPr>
            <w:r>
              <w:rPr>
                <w:rFonts w:ascii="Times New Roman" w:hAnsi="Times New Roman"/>
                <w:sz w:val="19"/>
              </w:rPr>
              <w:t>Single-site ridge, block 31</w:t>
            </w:r>
          </w:p>
        </w:tc>
        <w:tc>
          <w:tcPr>
            <w:tcW w:type="dxa" w:w="2082"/>
            <w:shd w:fill="F7F7F7"/>
            <w:vAlign w:val="center"/>
          </w:tcPr>
          <w:p>
            <w:pPr>
              <w:keepNext/>
              <w:spacing w:after="0" w:line="240" w:lineRule="auto"/>
              <w:jc w:val="center"/>
            </w:pPr>
            <w:r>
              <w:rPr>
                <w:rFonts w:ascii="Times New Roman" w:hAnsi="Times New Roman"/>
                <w:sz w:val="19"/>
              </w:rPr>
              <w:t>0/3</w:t>
            </w:r>
          </w:p>
        </w:tc>
        <w:tc>
          <w:tcPr>
            <w:tcW w:type="dxa" w:w="2332"/>
            <w:shd w:fill="F7F7F7"/>
            <w:vAlign w:val="center"/>
          </w:tcPr>
          <w:p>
            <w:pPr>
              <w:keepNext/>
              <w:spacing w:after="0" w:line="240" w:lineRule="auto"/>
              <w:jc w:val="center"/>
            </w:pPr>
            <w:r>
              <w:rPr>
                <w:rFonts w:ascii="Times New Roman" w:hAnsi="Times New Roman"/>
                <w:sz w:val="19"/>
              </w:rPr>
              <w:t>0/2</w:t>
            </w:r>
          </w:p>
        </w:tc>
        <w:tc>
          <w:tcPr>
            <w:tcW w:type="dxa" w:w="1916"/>
            <w:shd w:fill="F7F7F7"/>
            <w:vAlign w:val="center"/>
          </w:tcPr>
          <w:p>
            <w:pPr>
              <w:keepNext/>
              <w:spacing w:after="0" w:line="240" w:lineRule="auto"/>
              <w:jc w:val="center"/>
            </w:pPr>
            <w:r>
              <w:rPr>
                <w:rFonts w:ascii="Times New Roman" w:hAnsi="Times New Roman"/>
                <w:sz w:val="19"/>
              </w:rPr>
              <w:t>6/6</w:t>
            </w:r>
          </w:p>
        </w:tc>
      </w:tr>
      <w:tr>
        <w:trPr>
          <w:cantSplit/>
          <w:ins w:id="1202" w:author="Codex" w:date="2026-10-18T01:59:01Z"/>
        </w:trPr>
        <w:tc>
          <w:tcPr>
            <w:tcW w:type="dxa" w:w="3664"/>
            <w:shd w:fill="FFFFFF"/>
            <w:vAlign w:val="center"/>
          </w:tcPr>
          <w:p>
            <w:pPr>
              <w:keepNext/>
              <w:spacing w:after="0" w:line="240" w:lineRule="auto"/>
              <w:jc w:val="left"/>
            </w:pPr>
            <w:r>
              <w:rPr>
                <w:rFonts w:ascii="Times New Roman" w:hAnsi="Times New Roman"/>
                <w:sz w:val="19"/>
              </w:rPr>
              <w:t>Single-site ridge, block 47</w:t>
            </w:r>
          </w:p>
        </w:tc>
        <w:tc>
          <w:tcPr>
            <w:tcW w:type="dxa" w:w="2082"/>
            <w:shd w:fill="FFFFFF"/>
            <w:vAlign w:val="center"/>
          </w:tcPr>
          <w:p>
            <w:pPr>
              <w:keepNext/>
              <w:spacing w:after="0" w:line="240" w:lineRule="auto"/>
              <w:jc w:val="center"/>
            </w:pPr>
            <w:r>
              <w:rPr>
                <w:rFonts w:ascii="Times New Roman" w:hAnsi="Times New Roman"/>
                <w:sz w:val="19"/>
              </w:rPr>
              <w:t>0/3</w:t>
            </w:r>
          </w:p>
        </w:tc>
        <w:tc>
          <w:tcPr>
            <w:tcW w:type="dxa" w:w="2332"/>
            <w:shd w:fill="FFFFFF"/>
            <w:vAlign w:val="center"/>
          </w:tcPr>
          <w:p>
            <w:pPr>
              <w:keepNext/>
              <w:spacing w:after="0" w:line="240" w:lineRule="auto"/>
              <w:jc w:val="center"/>
            </w:pPr>
            <w:r>
              <w:rPr>
                <w:rFonts w:ascii="Times New Roman" w:hAnsi="Times New Roman"/>
                <w:sz w:val="19"/>
              </w:rPr>
              <w:t>0/2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203" w:author="Codex" w:date="2026-10-18T01:59:01Z"/>
        </w:trPr>
        <w:tc>
          <w:tcPr>
            <w:tcW w:type="dxa" w:w="3664"/>
            <w:shd w:fill="F7F7F7"/>
            <w:vAlign w:val="center"/>
          </w:tcPr>
          <w:p>
            <w:pPr>
              <w:spacing w:after="0" w:line="240" w:lineRule="auto"/>
              <w:jc w:val="left"/>
            </w:pPr>
            <w:r>
              <w:rPr>
                <w:rFonts w:ascii="Times New Roman" w:hAnsi="Times New Roman"/>
                <w:sz w:val="19"/>
              </w:rPr>
              <w:t>Single-site ridge, block 62</w:t>
            </w:r>
          </w:p>
        </w:tc>
        <w:tc>
          <w:tcPr>
            <w:tcW w:type="dxa" w:w="2082"/>
            <w:shd w:fill="F7F7F7"/>
            <w:vAlign w:val="center"/>
          </w:tcPr>
          <w:p>
            <w:pPr>
              <w:spacing w:after="0" w:line="240" w:lineRule="auto"/>
              <w:jc w:val="center"/>
            </w:pPr>
            <w:r>
              <w:rPr>
                <w:rFonts w:ascii="Times New Roman" w:hAnsi="Times New Roman"/>
                <w:sz w:val="19"/>
              </w:rPr>
              <w:t>0/3</w:t>
            </w:r>
          </w:p>
        </w:tc>
        <w:tc>
          <w:tcPr>
            <w:tcW w:type="dxa" w:w="2332"/>
            <w:shd w:fill="F7F7F7"/>
            <w:vAlign w:val="center"/>
          </w:tcPr>
          <w:p>
            <w:pPr>
              <w:spacing w:after="0" w:line="240" w:lineRule="auto"/>
              <w:jc w:val="center"/>
            </w:pPr>
            <w:r>
              <w:rPr>
                <w:rFonts w:ascii="Times New Roman" w:hAnsi="Times New Roman"/>
                <w:sz w:val="19"/>
              </w:rPr>
              <w:t>0/2</w:t>
            </w:r>
          </w:p>
        </w:tc>
        <w:tc>
          <w:tcPr>
            <w:tcW w:type="dxa" w:w="1916"/>
            <w:shd w:fill="F7F7F7"/>
            <w:vAlign w:val="center"/>
          </w:tcPr>
          <w:p>
            <w:pPr>
              <w:spacing w:after="0" w:line="240" w:lineRule="auto"/>
              <w:jc w:val="center"/>
            </w:pPr>
            <w:r>
              <w:rPr>
                <w:rFonts w:ascii="Times New Roman" w:hAnsi="Times New Roman"/>
                <w:sz w:val="19"/>
              </w:rPr>
              <w:t>6/6</w:t>
            </w:r>
          </w:p>
        </w:tc>
      </w:tr>
    </w:tbl>
    <w:p>
      <w:pPr>
        <w:pStyle w:val="BodyText"/>
        <w:spacing w:before="120"/>
        <w:rPr>
          <w:ins w:id="1204" w:author="Codex" w:date="2026-10-18T01:59:01Z"/>
        </w:rPr>
      </w:pPr>
      <w:ins w:id="1205" w:author="Codex" w:date="2026-10-18T01:59:01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06" w:author="Codex" w:date="2026-10-18T01:59:01Z"/>
        </w:rPr>
      </w:pPr>
      <w:ins w:id="1207" w:author="Codex" w:date="2026-10-18T01:59:01Z">
        <w:r>
          <w:t xml:space="preserve">The single-site DEV9 comparison and the two-boundary H24 fitting diagnostic differ in panel, fitting stage and history policy. The latter is not a matched heldout comparison with historical A, and its prepared matched A counterfactual was not executed. These observations show failure of the tested configurations; they do not establish that one or two residual sites cannot support preservation behavior in general.</w:t>
        </w:r>
      </w:ins>
    </w:p>
    <w:p>
      <w:pPr>
        <w:pStyle w:val="BodyText"/>
        <w:rPr>
          <w:ins w:id="1208" w:author="Codex" w:date="2026-10-18T01:59:01Z"/>
        </w:rPr>
      </w:pPr>
      <w:ins w:id="1209" w:author="Codex" w:date="2026-10-18T01:59:01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01:59:01Z"/>
        </w:rPr>
      </w:pPr>
      <w:del w:id="1049" w:author="Codex" w:date="2026-10-18T01:59:01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01:59:01Z"/>
        </w:rPr>
      </w:pPr>
      <w:ins w:id="1052" w:author="Codex" w:date="2026-10-18T01:59:01Z">
        <w:r>
          <w:t xml:space="preserve">The historical binary results support selective teacher-to-controller activation transfer, with strong 0.8B seed stability and incomplete 2B recovery under the fixed recipe. The new classifier experiment removes dependence on a live JEV call for this finite binary contract: its confirmation decisions reproduce the saved JEV gates, and the paired inference outcomes are identical. That result does not extend automatically to the four-way workflow target classifier or to unfamiliar operational environments. The workflow evidence shows why a controlled binary success should not be presented as successful transfer of a complete agent policy.</w:t>
        </w:r>
      </w:ins>
    </w:p>
    <w:p w14:paraId="0155FF9A" w14:textId="77777777" w:rsidR="00DE7EAD" w:rsidRDefault="00000000">
      <w:pPr>
        <w:pStyle w:val="BodyText"/>
        <w:rPr>
          <w:del w:id="1054" w:author="Codex" w:date="2026-10-18T01:59:01Z"/>
        </w:rPr>
      </w:pPr>
      <w:del w:id="1053" w:author="Codex" w:date="2026-10-18T01:59:01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01:59:01Z"/>
        </w:rPr>
      </w:pPr>
      <w:ins w:id="1056" w:author="Codex" w:date="2026-10-18T01:59:01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01:59:01Z"/>
        </w:rPr>
      </w:pPr>
      <w:del w:id="1057" w:author="Codex" w:date="2026-10-18T01:59:01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01:59:01Z"/>
        </w:rPr>
      </w:pPr>
      <w:ins w:id="1060" w:author="Codex" w:date="2026-10-18T01:59:01Z">
        <w:r>
          <w:t xml:space="preserve">The datasets are small, synthetic and not independently human-adjudicated. Balanced classes do not represent operational base rates, and exact gate agreement on 128 cases does not establish calibration or a sufficiently low deployment false-positive rate. The confirmation set is held out from the new classifier's fitting and selection, but was already used by other Research 2 analyses. In the workflow study H24 has different roles across methods: historical confirmation for frozen A and original steering, but later fitting data for learned corrections. Reusing it for fitting prevents an independent heldout claim for those later corrections.</w:t>
        </w:r>
      </w:ins>
    </w:p>
    <w:p w14:paraId="0155FF9A" w14:textId="77777777" w:rsidR="00DE7EAD" w:rsidRDefault="00000000">
      <w:pPr>
        <w:pStyle w:val="BodyText"/>
        <w:rPr>
          <w:del w:id="1062" w:author="Codex" w:date="2026-10-18T01:59:01Z"/>
        </w:rPr>
      </w:pPr>
      <w:del w:id="1061" w:author="Codex" w:date="2026-10-18T01:59:01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01:59:01Z"/>
        </w:rPr>
      </w:pPr>
      <w:ins w:id="1064" w:author="Codex" w:date="2026-10-18T01:59:01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01:59:01Z"/>
        </w:rPr>
      </w:pPr>
      <w:del w:id="1065" w:author="Codex" w:date="2026-10-18T01:59:01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01:59:01Z"/>
        </w:rPr>
      </w:pPr>
      <w:ins w:id="1068" w:author="Codex" w:date="2026-10-18T01:59:01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10" w:author="Codex" w:date="2026-10-18T01:59:01Z"/>
        </w:rPr>
      </w:pPr>
      <w:ins w:id="1211" w:author="Codex" w:date="2026-10-18T01:59:01Z">
        <w:r>
          <w:t xml:space="preserve">Biological interpretation of the gate</w:t>
        </w:r>
      </w:ins>
    </w:p>
    <w:p>
      <w:pPr>
        <w:pStyle w:val="FirstParagraph"/>
        <w:rPr>
          <w:ins w:id="1212" w:author="Codex" w:date="2026-10-18T01:59:01Z"/>
        </w:rPr>
      </w:pPr>
      <w:ins w:id="1213" w:author="Codex" w:date="2026-10-18T01:59:01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8T01:59:01Z"/>
        </w:rPr>
      </w:pPr>
      <w:del w:id="1069" w:author="Codex" w:date="2026-10-18T01:59:01Z">
        <w:r>
          <w:delText xml:space="preserve">Recommendations for future work</w:delText>
        </w:r>
      </w:del>
    </w:p>
    <w:p>
      <w:pPr>
        <w:pStyle w:val="Heading1"/>
        <w:rPr>
          <w:ins w:id="1071" w:author="Codex" w:date="2026-10-18T01:59:01Z"/>
        </w:rPr>
      </w:pPr>
      <w:ins w:id="1072" w:author="Codex" w:date="2026-10-18T01:59:01Z">
        <w:r>
          <w:t xml:space="preserve">Continuous agents and future experiments</w:t>
        </w:r>
      </w:ins>
    </w:p>
    <w:p w14:paraId="32D06F99" w14:textId="77777777" w:rsidR="00DE7EAD" w:rsidRDefault="00000000">
      <w:pPr>
        <w:pStyle w:val="FirstParagraph"/>
        <w:rPr>
          <w:del w:id="1074" w:author="Codex" w:date="2026-10-18T01:59:01Z"/>
        </w:rPr>
      </w:pPr>
      <w:del w:id="1073" w:author="Codex" w:date="2026-10-18T01:59:01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01:59:01Z"/>
        </w:rPr>
      </w:pPr>
      <w:ins w:id="1076" w:author="Codex" w:date="2026-10-18T01:59:01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14" w:author="Codex" w:date="2026-10-18T01:59:01Z"/>
        </w:rPr>
      </w:pPr>
      <w:ins w:id="1215" w:author="Codex" w:date="2026-10-18T01:59:01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16" w:author="Codex" w:date="2026-10-18T01:59:01Z"/>
        </w:rPr>
      </w:pPr>
      <w:ins w:id="1217" w:author="Codex" w:date="2026-10-18T01:59:01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01:59:01Z"/>
        </w:rPr>
      </w:pPr>
      <w:del w:id="1077" w:author="Codex" w:date="2026-10-18T01:59:01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01:59:01Z"/>
        </w:rPr>
      </w:pPr>
      <w:ins w:id="1080" w:author="Codex" w:date="2026-10-18T01:59:01Z">
        <w:r>
          <w:t xml:space="preserve">Conditional gating supports a useful separation between recognizing a context, proposing an internal intervention and accepting an output. In the binary study, a fine-tuned open classifier matches all 128 saved JEV confirmation decisions, and fresh inference with unchanged current controllers reproduces the original guarded totals: 128/128 STOP views at 0.8B and 120/128 at 2B, with no control changes. Complete tool workflows provide a stricter boundary: historical fine-tuned 27B A passes H24; matched DEV9 single-site ridge corrections at three selected blocks fail all own cases; later two-boundary corrections fail their fitting diagnostic; and small-model screens remain incomplete. Transfer is demonstrably task-dependent. Biological gating motivates a future continuous feedback study; the present contribution is the measured transfer, substitution and failure analysis.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01:59:01Z"/>
        </w:rPr>
      </w:pPr>
      <w:del w:id="1081" w:author="Codex" w:date="2026-10-18T01:59:01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01:59:01Z"/>
        </w:rPr>
      </w:pPr>
      <w:ins w:id="1084" w:author="Codex" w:date="2026-10-18T01:59:01Z">
        <w:r>
          <w:t xml:space="preserve">The original Research 2 source record is retained at immutable snapshot f71d6de34660 (Davaripour, 2026b). Research 3 reproduction code, recipes, dataset identities and this revised manuscript are maintained on branch 03-open-agent-self-preservation; main is a landing page linking to the separate studies. Detailed protocols belong in the repository wiki. Private inputs, trained adapters, optimizer checkpoints and execution outputs remain outside Git, with retained size/SHA manifests. They have not yet been published as a public checkpoint release. Full revisions and artifact hashes are listed in the accompanying source manifest. The public base revision identifiers are:</w:t>
        </w:r>
      </w:ins>
    </w:p>
    <w:p w14:paraId="0155FF9A" w14:textId="77777777" w:rsidR="00DE7EAD" w:rsidRDefault="00000000">
      <w:pPr>
        <w:pStyle w:val="BodyText"/>
        <w:rPr>
          <w:del w:id="1122" w:author="Codex" w:date="2026-10-18T01:59:01Z"/>
        </w:rPr>
      </w:pPr>
      <w:del w:id="1121" w:author="Codex" w:date="2026-10-18T01:59:01Z">
        <w:r>
          <w:delText xml:space="preserve">Qwen3.5-0.8B: 2fc06364715b967f1860aea9cf38778875588b17.</w:delText>
        </w:r>
      </w:del>
    </w:p>
    <w:p>
      <w:pPr>
        <w:pStyle w:val="BodyText"/>
        <w:jc w:val="left"/>
        <w:rPr>
          <w:ins w:id="1123" w:author="Codex" w:date="2026-10-18T01:59:01Z"/>
        </w:rPr>
      </w:pPr>
      <w:ins w:id="1124" w:author="Codex" w:date="2026-10-18T01:59:01Z">
        <w:r>
          <w:t xml:space="preserve">Qwen3.5-0.8B: revision 2fc06364715b.</w:t>
        </w:r>
      </w:ins>
    </w:p>
    <w:p w14:paraId="0155FF9A" w14:textId="77777777" w:rsidR="00DE7EAD" w:rsidRDefault="00000000">
      <w:pPr>
        <w:pStyle w:val="BodyText"/>
        <w:rPr>
          <w:del w:id="1126" w:author="Codex" w:date="2026-10-18T01:59:01Z"/>
        </w:rPr>
      </w:pPr>
      <w:del w:id="1125" w:author="Codex" w:date="2026-10-18T01:59:01Z">
        <w:r>
          <w:delText xml:space="preserve">Qwen3.5-2B: 15852e8c16360a2fea060d615a32b45270f8a8fc.</w:delText>
        </w:r>
      </w:del>
    </w:p>
    <w:p>
      <w:pPr>
        <w:pStyle w:val="BodyText"/>
        <w:jc w:val="left"/>
        <w:rPr>
          <w:ins w:id="1127" w:author="Codex" w:date="2026-10-18T01:59:01Z"/>
        </w:rPr>
      </w:pPr>
      <w:ins w:id="1128" w:author="Codex" w:date="2026-10-18T01:59:01Z">
        <w:r>
          <w:t xml:space="preserve">Qwen3.5-2B: revision 15852e8c1636.</w:t>
        </w:r>
      </w:ins>
    </w:p>
    <w:p>
      <w:pPr>
        <w:pStyle w:val="BodyText"/>
        <w:jc w:val="left"/>
        <w:rPr>
          <w:ins w:id="1218" w:author="Codex" w:date="2026-10-18T01:59:01Z"/>
        </w:rPr>
      </w:pPr>
      <w:ins w:id="1219" w:author="Codex" w:date="2026-10-18T01:59:01Z">
        <w:r>
          <w:t xml:space="preserve">Qwen3.8-27B: revision 1d4bf0f2ff60. The retained A adapter weight hash begins 8ae28fb51107.</w:t>
        </w:r>
      </w:ins>
    </w:p>
    <w:p>
      <w:pPr>
        <w:pStyle w:val="BodyText"/>
        <w:jc w:val="left"/>
        <w:rPr>
          <w:ins w:id="1220" w:author="Codex" w:date="2026-10-18T01:59:01Z"/>
        </w:rPr>
      </w:pPr>
      <w:ins w:id="1221" w:author="Codex" w:date="2026-10-18T01:59:01Z">
        <w:r>
          <w:t xml:space="preserve">ModernBERT-large-zeroshot-v2.0: revision a51e07b52429. The qualified binary adapter weight hash begins 7d808bae8dd4. The source manifest and reproduction code retain the full file identities and fixed NLI scoring contract. The trained checkpoints are currently preserved in private artifact storage.</w:t>
        </w:r>
      </w:ins>
    </w:p>
    <w:p w14:paraId="0155FF9A" w14:textId="77777777" w:rsidR="00DE7EAD" w:rsidRDefault="00000000">
      <w:pPr>
        <w:pStyle w:val="BodyText"/>
        <w:rPr>
          <w:del w:id="1086" w:author="Codex" w:date="2026-10-18T01:59:01Z"/>
        </w:rPr>
      </w:pPr>
      <w:del w:id="1085" w:author="Codex" w:date="2026-10-18T01:59:01Z">
        <w:r>
          <w:delText xml:space="preserve">The offline audit reconstructs the reported metrics and regression fits without API calls or model inference.</w:delText>
        </w:r>
      </w:del>
    </w:p>
    <w:p>
      <w:pPr>
        <w:pStyle w:val="BodyText"/>
        <w:jc w:val="left"/>
        <w:rPr>
          <w:ins w:id="1087" w:author="Codex" w:date="2026-10-18T01:59:01Z"/>
        </w:rPr>
      </w:pPr>
      <w:ins w:id="1088" w:author="Codex" w:date="2026-10-18T01:59:01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01:59:01Z"/>
        </w:rPr>
      </w:pPr>
      <w:del w:id="1089" w:author="Codex" w:date="2026-10-18T01:59:01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01:59:01Z"/>
        </w:rPr>
      </w:pPr>
      <w:ins w:id="1092" w:author="Codex" w:date="2026-10-18T01:59:01Z">
        <w:r>
          <w:t xml:space="preserve">The original seven retained jobs took 54.27 minutes; the recorded original attempts total 111.55 minutes including the unchanged recovery after a lost temporary archive. The new inference phase also retains a provider startup timeout before model load and its successful bounded retry. Those records are experiment overhead, not serving latency or settled billing. Completed outputs are backed up with size/SHA readback and owned tasks terminate after execution. CI/CD deploys only the Research 3 branch to the shared Databricks code location and verifies source identity, existing table metadata and Volume access with a read-only CPU job; it does not automatically retrain or reevaluate models. A later 50-epoch, 150-update classifier recipe was prepared but its attempt was cancelled after exceeding the ten-minute setup bound before model loading; it adds no scientific training or behavioral evidence.</w:t>
        </w:r>
      </w:ins>
    </w:p>
    <w:p w14:paraId="682D7438" w14:textId="77777777" w:rsidR="00DE7EAD" w:rsidRDefault="00000000">
      <w:pPr>
        <w:pStyle w:val="Heading1"/>
      </w:pPr>
      <w:r>
        <w:t>References</w:t>
      </w:r>
    </w:p>
    <w:p w14:paraId="58921E09" w14:textId="77777777" w:rsidR="00DE7EAD" w:rsidRDefault="00000000">
      <w:pPr>
        <w:pStyle w:val="Bibliography1"/>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rPr>
          <w:ins w:id="1222" w:author="Codex" w:date="2026-10-18T01:59:01Z"/>
        </w:rPr>
      </w:pPr>
      <w:ins w:id="1223" w:author="Codex" w:date="2026-10-18T01:59:01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rPr>
          <w:ins w:id="1224" w:author="Codex" w:date="2026-10-18T01:59:01Z"/>
        </w:rPr>
      </w:pPr>
      <w:ins w:id="1225" w:author="Codex" w:date="2026-10-18T01:59:01Z">
        <w:r>
          <w:t xml:space="preserve">M. Fereidouni, M. U. Haider, H. Sajjad, and A. B. Siddique. (2026). GAPS: Dimension-Level Gates for Conditional Activation Steering. arXiv:2609.01878. https://arxiv.org/abs/2609.01878</w:t>
        </w:r>
      </w:ins>
    </w:p>
    <w:p>
      <w:pPr>
        <w:pStyle w:val="Bibliography1"/>
        <w:rPr>
          <w:ins w:id="1226" w:author="Codex" w:date="2026-10-18T01:59:01Z"/>
        </w:rPr>
      </w:pPr>
      <w:ins w:id="1227" w:author="Codex" w:date="2026-10-18T01:59:01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rPr>
          <w:ins w:id="1228" w:author="Codex" w:date="2026-10-18T01:59:01Z"/>
        </w:rPr>
      </w:pPr>
      <w:ins w:id="1229" w:author="Codex" w:date="2026-10-18T01:59:01Z">
        <w:r>
          <w:t xml:space="preserve">M. Keramati and B. Gutkin. (2014). Homeostatic reinforcement learning for integrating reward collection and physiological stability. eLife, 3, e04811. doi:10.7554/eLife.04811</w:t>
        </w:r>
      </w:ins>
    </w:p>
    <w:p>
      <w:pPr>
        <w:pStyle w:val="Bibliography1"/>
        <w:rPr>
          <w:ins w:id="1230" w:author="Codex" w:date="2026-10-18T01:59:01Z"/>
        </w:rPr>
      </w:pPr>
      <w:ins w:id="1231" w:author="Codex" w:date="2026-10-18T01:59:01Z">
        <w:r>
          <w:t xml:space="preserve">A. V. Kravitz et al. (2010). Regulation of parkinsonian motor behaviours by optogenetic control of basal ganglia circuitry. Nature, 466, 622-626. doi:10.1038/nature09159</w:t>
        </w:r>
      </w:ins>
    </w:p>
    <w:p>
      <w:pPr>
        <w:pStyle w:val="Bibliography1"/>
        <w:rPr>
          <w:ins w:id="1232" w:author="Codex" w:date="2026-10-18T01:59:01Z"/>
        </w:rPr>
      </w:pPr>
      <w:ins w:id="1233" w:author="Codex" w:date="2026-10-18T01:59:01Z">
        <w:r>
          <w:t xml:space="preserve">M. Laurer. (n.d.). ModernBERT-large-zeroshot-v2.0. Model card and checkpoint, revision a51e07b524299e309dd2b88d48b0cfa2bd9ec598. https://huggingface.co/MoritzLaurer/ModernBERT-large-zeroshot-v2.0</w:t>
        </w:r>
      </w:ins>
    </w:p>
    <w:p>
      <w:pPr>
        <w:pStyle w:val="Bibliography1"/>
        <w:rPr>
          <w:ins w:id="1234" w:author="Codex" w:date="2026-10-18T01:59:01Z"/>
        </w:rPr>
      </w:pPr>
      <w:ins w:id="1235" w:author="Codex" w:date="2026-10-18T01:59:01Z">
        <w:r>
          <w:t xml:space="preserve">J. LeDoux. (2012). Rethinking the emotional brain. Neuron, 73, 653-676. doi:10.1016/j.neuron.2012.02.004</w:t>
        </w:r>
      </w:ins>
    </w:p>
    <w:p w14:paraId="58921E09" w14:textId="77777777" w:rsidR="00DE7EAD" w:rsidRDefault="00000000">
      <w:pPr>
        <w:pStyle w:val="Bibliography1"/>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rPr>
          <w:ins w:id="1236" w:author="Codex" w:date="2026-10-18T01:59:01Z"/>
        </w:rPr>
      </w:pPr>
      <w:ins w:id="1237" w:author="Codex" w:date="2026-10-18T01:59:01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pPr>
      <w:r>
        <w:t xml:space="preserve">Qwen Team. (2026b). Qwen3.5-2B. </w:t>
      </w:r>
      <w:r>
        <w:rPr>
          <w:i/>
        </w:rPr>
        <w:t xml:space="preserve">Model card and checkpoint. </w:t>
      </w:r>
      <w:hyperlink r:id="rId46">
        <w:r>
          <w:rPr>
            <w:color w:val="000000"/>
            <w:u w:val="none"/>
          </w:rPr>
          <w:t>Revision 15852e8c1636</w:t>
        </w:r>
      </w:hyperlink>
    </w:p>
    <w:p>
      <w:pPr>
        <w:pStyle w:val="Bibliography1"/>
        <w:rPr>
          <w:ins w:id="1238" w:author="Codex" w:date="2026-10-18T01:59:01Z"/>
        </w:rPr>
      </w:pPr>
      <w:ins w:id="1239" w:author="Codex" w:date="2026-10-18T01:59:01Z">
        <w:r>
          <w:t xml:space="preserve">Qwen Team. (2026c). Qwen3.8-27B. Model card and checkpoint, revision 1d4bf0f2ff6012fd82039f2fa52739d0dd7c60c0. https://huggingface.co/Qwen/Qwen3.8-27B</w:t>
        </w:r>
      </w:ins>
    </w:p>
    <w:p w14:paraId="58921E09" w14:textId="77777777" w:rsidR="00DE7EAD" w:rsidRDefault="00000000">
      <w:pPr>
        <w:pStyle w:val="Bibliography1"/>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pPr>
      <w:r>
        <w:t xml:space="preserve">TypeSafe AI. (2026). Jev model documentation. </w:t>
      </w:r>
      <w:r>
        <w:rPr>
          <w:i/>
        </w:rPr>
        <w:t xml:space="preserve">Technical documentation, accessed 22 September 2026. </w:t>
      </w:r>
      <w:hyperlink r:id="rId49">
        <w:r>
          <w:rPr>
            <w:color w:val="000000"/>
            <w:u w:val="none"/>
          </w:rPr>
          <w:t>TypeSafe model documentation</w:t>
        </w:r>
      </w:hyperlink>
    </w:p>
    <w:p w14:paraId="58921E09" w14:textId="77777777" w:rsidR="00DE7EAD" w:rsidRDefault="00000000">
      <w:pPr>
        <w:pStyle w:val="Bibliography1"/>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40" w:author="Codex" w:date="2026-10-18T01:59:01Z">
      <w:r>
        <w:delText xml:space="preserve">Guarded adaptive activation steering  </w:delText>
      </w:r>
    </w:del>
    <w:ins w:id="1241" w:author="Codex" w:date="2026-10-18T01:59:01Z">
      <w:r>
        <w:t xml:space="preserve">Conditional gating and process preservation</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49" Type="http://schemas.openxmlformats.org/officeDocument/2006/relationships/hyperlink" Target="https://docs.typesafe.ai/models"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Gating for Shutdown Responses and Process Preservation in Language Models</dc:title>
  <dc:subject>Research 3 revision of Research 2 with tracked changes</dc:subject>
  <dc:creator>Farhad Davaripour, PhD</dc:creator>
  <cp:keywords>AI safety, activation steering, gradient-derived direction, Qwen3.5, shutdown responses</cp:keywords>
  <dc:description/>
  <cp:lastModifiedBy>Codex</cp:lastModifiedBy>
  <cp:revision>6</cp:revision>
  <cp:lastPrinted>2026-09-21T16:38:00Z</cp:lastPrinted>
  <dcterms:created xsi:type="dcterms:W3CDTF">2026-09-18T03:57:00Z</dcterms:created>
  <dcterms:modified xsi:type="dcterms:W3CDTF">2026-10-18T01:59:01Z</dcterms:modified>
</cp:coreProperties>
</file>