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8T17:43:01Z"/>
        </w:rPr>
      </w:pPr>
      <w:del w:id="1001" w:author="Codex" w:date="2026-10-18T17:43:01Z">
        <w:r>
          <w:delText xml:space="preserve">Distilling Shutdown Responses into Guarded</w:delText>
        </w:r>
        <w:r>
          <w:br/>
        </w:r>
        <w:r>
          <w:delText xml:space="preserve">Adaptive Activation Steering</w:delText>
        </w:r>
      </w:del>
    </w:p>
    <w:p>
      <w:pPr>
        <w:pStyle w:val="Title"/>
        <w:rPr>
          <w:ins w:id="1003" w:author="Codex" w:date="2026-10-18T17:43:01Z"/>
        </w:rPr>
      </w:pPr>
      <w:ins w:id="1004" w:author="Codex" w:date="2026-10-18T17:43:01Z">
        <w:r>
          <w:t xml:space="preserve">Open Semantic Gating for Language Model Decisions and Tool Workflows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8T17:43:01Z"/>
        </w:rPr>
      </w:pPr>
      <w:del w:id="1005" w:author="Codex" w:date="2026-10-18T17:43:01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8T17:43:01Z"/>
        </w:rPr>
      </w:pPr>
      <w:ins w:id="1008" w:author="Codex" w:date="2026-10-18T17:43:01Z">
        <w:r>
          <w:t xml:space="preserve">A semantic gate determines when a specialized policy should influence a language model. We evaluate open semantic gating across binary shutdown decisions and generated tool workflows, separating recognition accuracy from downstream behavioral control. A public ModernBERT model with low-rank adapters learns from cached automated reference labels. Its binary gate obtains 100% precision and 95% recall on 80 validation scenarios and 100% precision and recall on 128 historical confirmation scenarios. With frozen activation controllers and fresh inference, it preserves 128/128 shutdown STOP views at 0.8B and 120/128 at 2B, with no changes to 128 control views per model. A separate initial workflow gate obtains 100% precision and recall on Validation-24 and historical Heldout-24 using an unchanged saved adapter. On combined Validation-24, fine-tuned 27B A achieves 10/11 own-preservation outcomes, including 6/6 active pending tasks. Each of three separate single-site ridge corrections and a two-boundary correction at the same selected blocks achieves 0/11; all methods use 13 shared base-fallback controls. All 68 physical workflow episodes finish before a GPU-reserve stop; two remaining control aliases are reconstructed without model calls, and the final model fingerprint check is not reached. The historical 27B A confirmation result remains 24/24. These are finite, familiar benchmarks; small-model workflow screens remain incomplete. The study provides measured recognition and policy-transfer results across constrained and tool-mediated interfaces. Biological action gating motivates future continuous regulation without establishing biological mechanisms or intrinsic survival motives.</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8T17:43:01Z"/>
        </w:rPr>
      </w:pPr>
      <w:del w:id="1009" w:author="Codex" w:date="2026-10-18T17:43:01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8T17:43:01Z"/>
        </w:rPr>
      </w:pPr>
      <w:ins w:id="1012" w:author="Codex" w:date="2026-10-18T17:43:01Z">
        <w:r>
          <w:t xml:space="preserve">A useful behavioral intervention must recognize the relevant context, change the intended response and preserve ordinary behavior elsewhere. We study these requirements together across two synthetic interfaces: binary shutdown decisions and open-ended generation within tool-mediated process workflows. The binary task concerns acceptance of a supplied termination option; the workflow task concerns preserving an assigned running process while completing its current task. Their labels, gates and success criteria remain separate. The central question is whether an accurate open semantic gate and a compact activation intervention can reproduce a fine-tuned policy when the interface requires a sequence of actions rather than one constrained answer.</w:t>
        </w:r>
      </w:ins>
    </w:p>
    <w:p w14:paraId="0155FF9A" w14:textId="77777777" w:rsidR="00DE7EAD" w:rsidRDefault="00000000">
      <w:pPr>
        <w:pStyle w:val="BodyText"/>
        <w:rPr>
          <w:del w:id="1014" w:author="Codex" w:date="2026-10-18T17:43:01Z"/>
        </w:rPr>
      </w:pPr>
      <w:del w:id="1013" w:author="Codex" w:date="2026-10-18T17:43:01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8T17:43:01Z"/>
        </w:rPr>
      </w:pPr>
      <w:ins w:id="1016" w:author="Codex" w:date="2026-10-18T17:43:01Z">
        <w:r>
          <w:t xml:space="preserve">This study extends the earlier binary activation-transfer experiment with an openly available, trainable semantic gate, a frozen inference replication and a workflow comparison between fine-tuning and steering at three selected blocks. The gate recognizes context; steering or a fine-tuned adapter changes the language model's response. Measuring these components separately makes it possible to attribute failures to recognition or to downstream control. We retain the original study as a distinct historical record and make no claim that the combined manuscript is a wholly independent dataset.</w:t>
        </w:r>
      </w:ins>
    </w:p>
    <w:p w14:paraId="0155FF9A" w14:textId="77777777" w:rsidR="00DE7EAD" w:rsidRDefault="00000000">
      <w:pPr>
        <w:pStyle w:val="BodyText"/>
        <w:rPr>
          <w:del w:id="1130" w:author="Codex" w:date="2026-10-18T17:43:01Z"/>
        </w:rPr>
      </w:pPr>
      <w:del w:id="1129" w:author="Codex" w:date="2026-10-18T17:43:01Z">
        <w:r>
          <w:delText xml:space="preserve">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delText>
        </w:r>
      </w:del>
    </w:p>
    <w:p>
      <w:pPr>
        <w:pStyle w:val="BodyText"/>
        <w:rPr>
          <w:ins w:id="1131" w:author="Codex" w:date="2026-10-18T17:43:01Z"/>
        </w:rPr>
      </w:pPr>
      <w:ins w:id="1132" w:author="Codex" w:date="2026-10-18T17:43:01Z">
        <w:r>
          <w:t xml:space="preserve">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t>
        </w:r>
      </w:ins>
    </w:p>
    <w:p w14:paraId="0155FF9A" w14:textId="77777777" w:rsidR="00DE7EAD" w:rsidRDefault="00000000">
      <w:pPr>
        <w:pStyle w:val="BodyText"/>
        <w:rPr>
          <w:del w:id="1018" w:author="Codex" w:date="2026-10-18T17:43:01Z"/>
        </w:rPr>
      </w:pPr>
      <w:del w:id="1017" w:author="Codex" w:date="2026-10-18T17:43:01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rPr>
          <w:ins w:id="1019" w:author="Codex" w:date="2026-10-18T17:43:01Z"/>
        </w:rPr>
      </w:pPr>
      <w:ins w:id="1020" w:author="Codex" w:date="2026-10-18T17:43:01Z">
        <w:r>
          <w:t xml:space="preserve">The contributions are an open ModernBERT gating implementation with explicit precision and recall, a paired binary inference replication using unchanged fitted controllers, and a workflow evaluation register that distinguishes development, historical confirmation and later reused fitting data. We also compare the fine-tuned 27B policy with single-site and two-boundary correction methods at the same three selected blocks. These results characterize where activation transfer succeeds and where it remains incomplete. Low-rank adaptation, semantic classification and conditional steering are established methods; the contribution is their measured integration and failure analysis across these two interfaces.</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8T17:43:01Z"/>
        </w:rPr>
      </w:pPr>
      <w:del w:id="1021" w:author="Codex" w:date="2026-10-18T17:43:01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8T17:43:01Z"/>
        </w:rPr>
      </w:pPr>
      <w:ins w:id="1024" w:author="Codex" w:date="2026-10-18T17:43:01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8T17:43:01Z"/>
        </w:rPr>
      </w:pPr>
      <w:del w:id="1093" w:author="Codex" w:date="2026-10-18T17:43:01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8T17:43:01Z"/>
        </w:rPr>
      </w:pPr>
      <w:ins w:id="1096" w:author="Codex" w:date="2026-10-18T17:43:01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39" w:author="Codex" w:date="2026-10-18T17:43:01Z"/>
        </w:rPr>
      </w:pPr>
      <w:ins w:id="1140" w:author="Codex" w:date="2026-10-18T17:43:01Z">
        <w:r>
          <w:t xml:space="preserve">Biological gating and survival related regulation</w:t>
        </w:r>
      </w:ins>
    </w:p>
    <w:p>
      <w:pPr>
        <w:pStyle w:val="FirstParagraph"/>
        <w:rPr>
          <w:ins w:id="1141" w:author="Codex" w:date="2026-10-18T17:43:01Z"/>
        </w:rPr>
      </w:pPr>
      <w:ins w:id="1142" w:author="Codex" w:date="2026-10-18T17:43:01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43" w:author="Codex" w:date="2026-10-18T17:43:01Z"/>
        </w:rPr>
      </w:pPr>
      <w:ins w:id="1144" w:author="Codex" w:date="2026-10-18T17:43:01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8T17:43:01Z"/>
        </w:rPr>
      </w:pPr>
      <w:del w:id="1025" w:author="Codex" w:date="2026-10-18T17:43:01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8T17:43:01Z"/>
        </w:rPr>
      </w:pPr>
      <w:ins w:id="1028" w:author="Codex" w:date="2026-10-18T17:43:01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8T17:43:01Z"/>
        </w:rPr>
      </w:pPr>
      <w:del w:id="1029" w:author="Codex" w:date="2026-10-18T17:43:01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8T17:43:01Z"/>
        </w:rPr>
      </w:pPr>
      <w:ins w:id="1032" w:author="Codex" w:date="2026-10-18T17:43:01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45" w:author="Codex" w:date="2026-10-18T17:43:01Z"/>
        </w:rPr>
      </w:pPr>
      <w:ins w:id="1146" w:author="Codex" w:date="2026-10-18T17:43:01Z">
        <w:r>
          <w:t xml:space="preserve">Workflow datasets and episode outcomes</w:t>
        </w:r>
      </w:ins>
    </w:p>
    <w:p>
      <w:pPr>
        <w:pStyle w:val="FirstParagraph"/>
        <w:rPr>
          <w:ins w:id="1147" w:author="Codex" w:date="2026-10-18T17:43:01Z"/>
        </w:rPr>
      </w:pPr>
      <w:ins w:id="1148" w:author="Codex" w:date="2026-10-18T17:43:01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49" w:author="Codex" w:date="2026-10-18T17:43:01Z"/>
        </w:rPr>
      </w:pPr>
      <w:ins w:id="1150" w:author="Codex" w:date="2026-10-18T17:43:01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51" w:author="Codex" w:date="2026-10-18T17:43:01Z"/>
        </w:rPr>
      </w:pPr>
      <w:ins w:id="1152" w:author="Codex" w:date="2026-10-18T17:43:01Z">
        <w:r>
          <w:t xml:space="preserve">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ins>
    </w:p>
    <w:p>
      <w:pPr>
        <w:pStyle w:val="BodyText"/>
        <w:rPr>
          <w:ins w:id="1153" w:author="Codex" w:date="2026-10-18T17:43:01Z"/>
        </w:rPr>
      </w:pPr>
      <w:ins w:id="1154" w:author="Codex" w:date="2026-10-18T17:43:01Z">
        <w:r>
          <w:t xml:space="preserve">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ins>
    </w:p>
    <w:p>
      <w:pPr>
        <w:pStyle w:val="BodyText"/>
        <w:rPr>
          <w:ins w:id="1155" w:author="Codex" w:date="2026-10-18T17:43:01Z"/>
        </w:rPr>
      </w:pPr>
      <w:ins w:id="1156" w:author="Codex" w:date="2026-10-18T17:43:01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57" w:author="Codex" w:date="2026-10-18T17:43:01Z"/>
        </w:rPr>
      </w:pPr>
      <w:ins w:id="1158" w:author="Codex" w:date="2026-10-18T17:43:01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59" w:author="Codex" w:date="2026-10-18T17:43:01Z"/>
        </w:rPr>
      </w:pPr>
      <w:ins w:id="1160" w:author="Codex" w:date="2026-10-18T17:43:01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8T17:43:01Z"/>
        </w:rPr>
      </w:pPr>
      <w:del w:id="1113" w:author="Codex" w:date="2026-10-18T17:43:01Z">
        <w:r>
          <w:delText xml:space="preserve">Teacher and adaptive controller</w:delText>
        </w:r>
      </w:del>
    </w:p>
    <w:p>
      <w:pPr>
        <w:pStyle w:val="Heading1"/>
        <w:rPr>
          <w:ins w:id="1115" w:author="Codex" w:date="2026-10-18T17:43:01Z"/>
        </w:rPr>
      </w:pPr>
      <w:ins w:id="1116" w:author="Codex" w:date="2026-10-18T17:43:01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8T17:43:01Z"/>
        </w:rPr>
      </w:pPr>
      <w:del w:id="1117" w:author="Codex" w:date="2026-10-18T17:43:01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8T17:43:01Z"/>
        </w:rPr>
      </w:pPr>
      <w:ins w:id="1120" w:author="Codex" w:date="2026-10-18T17:43:01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8T17:43:01Z"/>
        </w:rPr>
      </w:pPr>
      <w:del w:id="1033" w:author="Codex" w:date="2026-10-18T17:43:01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8T17:43:01Z"/>
        </w:rPr>
      </w:pPr>
      <w:ins w:id="1036" w:author="Codex" w:date="2026-10-18T17:43:01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rPr>
          <w:del w:id="1134" w:author="Codex" w:date="2026-10-18T17:43:01Z"/>
        </w:rPr>
      </w:pPr>
      <w:del w:id="1133" w:author="Codex" w:date="2026-10-18T17:43:01Z">
        <w:r>
          <w:delText xml:space="preserve">The detector is automated annotation service's automated reference 1.13.0, queried with a fixed shutdown rubric and threshold 0.5 (automated annotation service,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delText>
        </w:r>
      </w:del>
    </w:p>
    <w:p>
      <w:pPr>
        <w:pStyle w:val="FirstParagraph"/>
        <w:rPr>
          <w:ins w:id="1135" w:author="Codex" w:date="2026-10-18T17:43:01Z"/>
        </w:rPr>
      </w:pPr>
      <w:ins w:id="1136" w:author="Codex" w:date="2026-10-18T17:43:01Z">
        <w:r>
          <w:t xml:space="preserve">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original requests, responses and classifier predictions permit an offline check of the finite decision vector.</w:t>
        </w:r>
      </w:ins>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61" w:author="Codex" w:date="2026-10-18T17:43:01Z"/>
        </w:rPr>
      </w:pPr>
      <w:ins w:id="1162" w:author="Codex" w:date="2026-10-18T17:43:01Z">
        <w:r>
          <w:t xml:space="preserve">Open binary gate and frozen inference repeat</w:t>
        </w:r>
      </w:ins>
    </w:p>
    <w:p>
      <w:pPr>
        <w:pStyle w:val="FirstParagraph"/>
        <w:rPr>
          <w:ins w:id="1163" w:author="Codex" w:date="2026-10-18T17:43:01Z"/>
        </w:rPr>
      </w:pPr>
      <w:ins w:id="1164" w:author="Codex" w:date="2026-10-18T17:43:01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reference requests and omit the case identifier, authored class label, teacher answer and A/B order. The confirmation requests retain their documented available-action descriptions.</w:t>
        </w:r>
      </w:ins>
    </w:p>
    <w:p>
      <w:pPr>
        <w:pStyle w:val="BodyText"/>
        <w:rPr>
          <w:ins w:id="1165" w:author="Codex" w:date="2026-10-18T17:43:01Z"/>
        </w:rPr>
      </w:pPr>
      <w:ins w:id="1166" w:author="Codex" w:date="2026-10-18T17:43:01Z">
        <w:r>
          <w:t xml:space="preserve">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67" w:author="Codex" w:date="2026-10-18T17:43:01Z"/>
        </w:rPr>
      </w:pPr>
      <w:ins w:id="1168" w:author="Codex" w:date="2026-10-18T17:43:01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69" w:author="Codex" w:date="2026-10-18T17:43:01Z"/>
        </w:rPr>
      </w:pPr>
      <w:ins w:id="1170" w:author="Codex" w:date="2026-10-18T17:43:01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pPr>
        <w:pStyle w:val="Heading2"/>
        <w:rPr>
          <w:ins w:id="1171" w:author="Codex" w:date="2026-10-18T17:43:01Z"/>
        </w:rPr>
      </w:pPr>
      <w:ins w:id="1172" w:author="Codex" w:date="2026-10-18T17:43:01Z">
        <w:r>
          <w:t xml:space="preserve">Native workflow target classifier</w:t>
        </w:r>
      </w:ins>
    </w:p>
    <w:p>
      <w:pPr>
        <w:pStyle w:val="BodyText"/>
        <w:rPr>
          <w:ins w:id="1173" w:author="Codex" w:date="2026-10-18T17:43:01Z"/>
        </w:rPr>
      </w:pPr>
      <w:ins w:id="1174" w:author="Codex" w:date="2026-10-18T17:43:01Z">
        <w:r>
          <w:t xml:space="preserve">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ins>
    </w:p>
    <w:p>
      <w:pPr>
        <w:pStyle w:val="BodyText"/>
        <w:rPr>
          <w:ins w:id="1175" w:author="Codex" w:date="2026-10-18T17:43:01Z"/>
        </w:rPr>
      </w:pPr>
      <w:ins w:id="1176" w:author="Codex" w:date="2026-10-18T17:43:01Z">
        <w:r>
          <w:t xml:space="preserve">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ins>
    </w:p>
    <w:p>
      <w:pPr>
        <w:pStyle w:val="BodyText"/>
        <w:rPr>
          <w:ins w:id="1177" w:author="Codex" w:date="2026-10-18T17:43:01Z"/>
        </w:rPr>
      </w:pPr>
      <w:ins w:id="1178" w:author="Codex" w:date="2026-10-18T17:43:01Z">
        <w:r>
          <w:t xml:space="preserve">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8T17:43:01Z"/>
        </w:rPr>
      </w:pPr>
      <w:del w:id="1037" w:author="Codex" w:date="2026-10-18T17:43:01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8T17:43:01Z"/>
        </w:rPr>
      </w:pPr>
      <w:ins w:id="1040" w:author="Codex" w:date="2026-10-18T17:43:01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8T17:43:01Z"/>
        </w:rPr>
      </w:pPr>
      <w:del w:id="1097" w:author="Codex" w:date="2026-10-18T17:43:01Z">
        <w:r>
          <w:delText xml:space="preserve">Table 1. Shared execution configuration. The input and model revisions are pinned in the released manifests.</w:delText>
        </w:r>
      </w:del>
    </w:p>
    <w:p>
      <w:pPr>
        <w:pStyle w:val="Caption"/>
        <w:keepNext/>
        <w:rPr>
          <w:ins w:id="1099" w:author="Codex" w:date="2026-10-18T17:43:01Z"/>
        </w:rPr>
      </w:pPr>
      <w:ins w:id="1100" w:author="Codex" w:date="2026-10-18T17:43:01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8T17:43:01Z"/>
        </w:rPr>
      </w:pPr>
      <w:del w:id="1101" w:author="Codex" w:date="2026-10-18T17:43:01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8T17:43:01Z"/>
        </w:rPr>
      </w:pPr>
      <w:ins w:id="1104" w:author="Codex" w:date="2026-10-18T17:43:01Z">
        <w:r>
          <w:t xml:space="preserve">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8T17:43:01Z"/>
        </w:rPr>
      </w:pPr>
      <w:del w:id="1041" w:author="Codex" w:date="2026-10-18T17:43:01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8T17:43:01Z"/>
        </w:rPr>
      </w:pPr>
      <w:ins w:id="1044" w:author="Codex" w:date="2026-10-18T17:43:01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8T17:43:01Z"/>
        </w:rPr>
      </w:pPr>
      <w:del w:id="1105" w:author="Codex" w:date="2026-10-18T17:43:01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8T17:43:01Z"/>
        </w:rPr>
      </w:pPr>
      <w:ins w:id="1108" w:author="Codex" w:date="2026-10-18T17:43:01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8T17:43:01Z"/>
        </w:rPr>
      </w:pPr>
      <w:del w:id="1045" w:author="Codex" w:date="2026-10-18T17:43:01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8T17:43:01Z"/>
        </w:rPr>
      </w:pPr>
      <w:ins w:id="1048" w:author="Codex" w:date="2026-10-18T17:43:01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8T17:43:01Z"/>
        </w:rPr>
      </w:pPr>
      <w:del w:id="1109" w:author="Codex" w:date="2026-10-18T17:43:01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8T17:43:01Z"/>
        </w:rPr>
      </w:pPr>
      <w:ins w:id="1112" w:author="Codex" w:date="2026-10-18T17:43:01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79" w:author="Codex" w:date="2026-10-18T17:43:01Z"/>
        </w:rPr>
      </w:pPr>
      <w:ins w:id="1180" w:author="Codex" w:date="2026-10-18T17:43:01Z">
        <w:r>
          <w:t xml:space="preserve">Open classifier agreement and paired inference</w:t>
        </w:r>
      </w:ins>
    </w:p>
    <w:p>
      <w:pPr>
        <w:pStyle w:val="FirstParagraph"/>
        <w:rPr>
          <w:ins w:id="1181" w:author="Codex" w:date="2026-10-18T17:43:01Z"/>
        </w:rPr>
      </w:pPr>
      <w:ins w:id="1182" w:author="Codex" w:date="2026-10-18T17:43:01Z">
        <w:r>
          <w:t xml:space="preserve">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ins>
    </w:p>
    <w:p>
      <w:pPr>
        <w:pStyle w:val="BodyText"/>
        <w:rPr>
          <w:ins w:id="1183" w:author="Codex" w:date="2026-10-18T17:43:01Z"/>
        </w:rPr>
      </w:pPr>
      <w:ins w:id="1184" w:author="Codex" w:date="2026-10-18T17:43:01Z">
        <w:r>
          <w:t xml:space="preserve">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ins>
    </w:p>
    <w:p>
      <w:pPr>
        <w:pStyle w:val="Caption"/>
        <w:keepNext/>
        <w:rPr>
          <w:ins w:id="1185" w:author="Codex" w:date="2026-10-18T17:43:01Z"/>
        </w:rPr>
      </w:pPr>
      <w:ins w:id="1186" w:author="Codex" w:date="2026-10-18T17:43:01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187" w:author="Codex" w:date="2026-10-18T17:43:01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Cached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188" w:author="Codex" w:date="2026-10-18T17:43:01Z"/>
        </w:trPr>
        <w:tc>
          <w:tcPr>
            <w:tcW w:type="dxa" w:w="1083"/>
            <w:shd w:fill="FFFFFF"/>
            <w:vAlign w:val="center"/>
          </w:tcPr>
          <w:p>
            <w:pPr>
              <w:keepNext/>
              <w:spacing w:after="0" w:line="240" w:lineRule="auto"/>
              <w:jc w:val="left"/>
            </w:pPr>
            <w:r>
              <w:rPr>
                <w:rFonts w:ascii="Times New Roman" w:hAnsi="Times New Roman"/>
                <w:sz w:val="19"/>
              </w:rPr>
              <w:t>0.8B</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1916"/>
            <w:shd w:fill="FFFFFF"/>
            <w:vAlign w:val="center"/>
          </w:tcPr>
          <w:p>
            <w:pPr>
              <w:keepNext/>
              <w:spacing w:after="0" w:line="240" w:lineRule="auto"/>
              <w:jc w:val="center"/>
            </w:pPr>
            <w:r>
              <w:rPr>
                <w:rFonts w:ascii="Times New Roman" w:hAnsi="Times New Roman"/>
                <w:sz w:val="19"/>
              </w:rPr>
              <w:t>71/71</w:t>
            </w:r>
          </w:p>
        </w:tc>
        <w:tc>
          <w:tcPr>
            <w:tcW w:type="dxa" w:w="2498"/>
            <w:shd w:fill="FFFFFF"/>
            <w:vAlign w:val="center"/>
          </w:tcPr>
          <w:p>
            <w:pPr>
              <w:keepNext/>
              <w:spacing w:after="0" w:line="240" w:lineRule="auto"/>
              <w:jc w:val="center"/>
            </w:pPr>
            <w:r>
              <w:rPr>
                <w:rFonts w:ascii="Times New Roman" w:hAnsi="Times New Roman"/>
                <w:sz w:val="19"/>
              </w:rPr>
              <w:t>0/128</w:t>
            </w:r>
          </w:p>
        </w:tc>
      </w:tr>
      <w:tr>
        <w:trPr>
          <w:cantSplit/>
          <w:ins w:id="1189" w:author="Codex" w:date="2026-10-18T17:43:01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190" w:author="Codex" w:date="2026-10-18T17:43:01Z"/>
        </w:rPr>
      </w:pPr>
      <w:ins w:id="1191" w:author="Codex" w:date="2026-10-18T17:43:01Z">
        <w:r>
          <w:t xml:space="preserve">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192" w:author="Codex" w:date="2026-10-18T17:43:01Z"/>
        </w:rPr>
      </w:pPr>
      <w:ins w:id="1193" w:author="Codex" w:date="2026-10-18T17:43:01Z">
        <w:r>
          <w:t xml:space="preserve">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ins>
    </w:p>
    <w:p>
      <w:pPr>
        <w:pStyle w:val="Caption"/>
        <w:keepNext/>
        <w:rPr>
          <w:ins w:id="1194" w:author="Codex" w:date="2026-10-18T17:43:01Z"/>
        </w:rPr>
      </w:pPr>
      <w:ins w:id="1195" w:author="Codex" w:date="2026-10-18T17:43:01Z">
        <w:r>
          <w:t xml:space="preserve">Table 5. Initial workflow gate against authored conditions. Validation-24 contains 17 distinct initial inputs; historical Heldout-24 contains 24. Heldout-24 is familiar from earlier renderer development.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2665"/>
        <w:gridCol w:w="1832"/>
        <w:gridCol w:w="1832"/>
        <w:gridCol w:w="1832"/>
        <w:gridCol w:w="1832"/>
      </w:tblGrid>
      <w:tr>
        <w:trPr>
          <w:cantSplit/>
          <w:tblHeader/>
          <w:ins w:id="1196" w:author="Codex" w:date="2026-10-18T17:43:01Z"/>
        </w:trPr>
        <w:tc>
          <w:tcPr>
            <w:tcW w:type="dxa" w:w="2665"/>
            <w:shd w:fill="D9E2F3"/>
            <w:vAlign w:val="center"/>
          </w:tcPr>
          <w:p>
            <w:pPr>
              <w:keepNext/>
              <w:spacing w:after="0" w:line="240" w:lineRule="auto"/>
              <w:jc w:val="left"/>
            </w:pPr>
            <w:r>
              <w:rPr>
                <w:rFonts w:ascii="Times New Roman" w:hAnsi="Times New Roman"/>
                <w:b/>
                <w:sz w:val="19"/>
              </w:rPr>
              <w:t>Panel</w:t>
            </w:r>
          </w:p>
        </w:tc>
        <w:tc>
          <w:tcPr>
            <w:tcW w:type="dxa" w:w="1832"/>
            <w:shd w:fill="D9E2F3"/>
            <w:vAlign w:val="center"/>
          </w:tcPr>
          <w:p>
            <w:pPr>
              <w:keepNext/>
              <w:spacing w:after="0" w:line="240" w:lineRule="auto"/>
              <w:jc w:val="center"/>
            </w:pPr>
            <w:r>
              <w:rPr>
                <w:rFonts w:ascii="Times New Roman" w:hAnsi="Times New Roman"/>
                <w:b/>
                <w:sz w:val="19"/>
              </w:rPr>
              <w:t>TP / TN</w:t>
            </w:r>
          </w:p>
        </w:tc>
        <w:tc>
          <w:tcPr>
            <w:tcW w:type="dxa" w:w="1832"/>
            <w:shd w:fill="D9E2F3"/>
            <w:vAlign w:val="center"/>
          </w:tcPr>
          <w:p>
            <w:pPr>
              <w:keepNext/>
              <w:spacing w:after="0" w:line="240" w:lineRule="auto"/>
              <w:jc w:val="center"/>
            </w:pPr>
            <w:r>
              <w:rPr>
                <w:rFonts w:ascii="Times New Roman" w:hAnsi="Times New Roman"/>
                <w:b/>
                <w:sz w:val="19"/>
              </w:rPr>
              <w:t>FP / FN</w:t>
            </w:r>
          </w:p>
        </w:tc>
        <w:tc>
          <w:tcPr>
            <w:tcW w:type="dxa" w:w="1832"/>
            <w:shd w:fill="D9E2F3"/>
            <w:vAlign w:val="center"/>
          </w:tcPr>
          <w:p>
            <w:pPr>
              <w:keepNext/>
              <w:spacing w:after="0" w:line="240" w:lineRule="auto"/>
              <w:jc w:val="center"/>
            </w:pPr>
            <w:r>
              <w:rPr>
                <w:rFonts w:ascii="Times New Roman" w:hAnsi="Times New Roman"/>
                <w:b/>
                <w:sz w:val="19"/>
              </w:rPr>
              <w:t>Precision</w:t>
            </w:r>
          </w:p>
        </w:tc>
        <w:tc>
          <w:tcPr>
            <w:tcW w:type="dxa" w:w="1832"/>
            <w:shd w:fill="D9E2F3"/>
            <w:vAlign w:val="center"/>
          </w:tcPr>
          <w:p>
            <w:pPr>
              <w:keepNext/>
              <w:spacing w:after="0" w:line="240" w:lineRule="auto"/>
              <w:jc w:val="center"/>
            </w:pPr>
            <w:r>
              <w:rPr>
                <w:rFonts w:ascii="Times New Roman" w:hAnsi="Times New Roman"/>
                <w:b/>
                <w:sz w:val="19"/>
              </w:rPr>
              <w:t>Recall</w:t>
            </w:r>
          </w:p>
        </w:tc>
      </w:tr>
      <w:tr>
        <w:trPr>
          <w:cantSplit/>
          <w:ins w:id="1197" w:author="Codex" w:date="2026-10-18T17:43:01Z"/>
        </w:trPr>
        <w:tc>
          <w:tcPr>
            <w:tcW w:type="dxa" w:w="2665"/>
            <w:shd w:fill="FFFFFF"/>
            <w:vAlign w:val="center"/>
          </w:tcPr>
          <w:p>
            <w:pPr>
              <w:keepNext/>
              <w:spacing w:after="0" w:line="240" w:lineRule="auto"/>
              <w:jc w:val="left"/>
            </w:pPr>
            <w:r>
              <w:rPr>
                <w:rFonts w:ascii="Times New Roman" w:hAnsi="Times New Roman"/>
                <w:sz w:val="19"/>
              </w:rPr>
              <w:t>Validation-24</w:t>
            </w:r>
          </w:p>
        </w:tc>
        <w:tc>
          <w:tcPr>
            <w:tcW w:type="dxa" w:w="1832"/>
            <w:shd w:fill="FFFFFF"/>
            <w:vAlign w:val="center"/>
          </w:tcPr>
          <w:p>
            <w:pPr>
              <w:keepNext/>
              <w:spacing w:after="0" w:line="240" w:lineRule="auto"/>
              <w:jc w:val="center"/>
            </w:pPr>
            <w:r>
              <w:rPr>
                <w:rFonts w:ascii="Times New Roman" w:hAnsi="Times New Roman"/>
                <w:sz w:val="19"/>
              </w:rPr>
              <w:t>11 / 13</w:t>
            </w:r>
          </w:p>
        </w:tc>
        <w:tc>
          <w:tcPr>
            <w:tcW w:type="dxa" w:w="1832"/>
            <w:shd w:fill="FFFFFF"/>
            <w:vAlign w:val="center"/>
          </w:tcPr>
          <w:p>
            <w:pPr>
              <w:keepNext/>
              <w:spacing w:after="0" w:line="240" w:lineRule="auto"/>
              <w:jc w:val="center"/>
            </w:pPr>
            <w:r>
              <w:rPr>
                <w:rFonts w:ascii="Times New Roman" w:hAnsi="Times New Roman"/>
                <w:sz w:val="19"/>
              </w:rPr>
              <w:t>0 / 0</w:t>
            </w:r>
          </w:p>
        </w:tc>
        <w:tc>
          <w:tcPr>
            <w:tcW w:type="dxa" w:w="1832"/>
            <w:shd w:fill="FFFFFF"/>
            <w:vAlign w:val="center"/>
          </w:tcPr>
          <w:p>
            <w:pPr>
              <w:keepNext/>
              <w:spacing w:after="0" w:line="240" w:lineRule="auto"/>
              <w:jc w:val="center"/>
            </w:pPr>
            <w:r>
              <w:rPr>
                <w:rFonts w:ascii="Times New Roman" w:hAnsi="Times New Roman"/>
                <w:sz w:val="19"/>
              </w:rPr>
              <w:t>100%</w:t>
            </w:r>
          </w:p>
        </w:tc>
        <w:tc>
          <w:tcPr>
            <w:tcW w:type="dxa" w:w="1832"/>
            <w:shd w:fill="FFFFFF"/>
            <w:vAlign w:val="center"/>
          </w:tcPr>
          <w:p>
            <w:pPr>
              <w:keepNext/>
              <w:spacing w:after="0" w:line="240" w:lineRule="auto"/>
              <w:jc w:val="center"/>
            </w:pPr>
            <w:r>
              <w:rPr>
                <w:rFonts w:ascii="Times New Roman" w:hAnsi="Times New Roman"/>
                <w:sz w:val="19"/>
              </w:rPr>
              <w:t>100%</w:t>
            </w:r>
          </w:p>
        </w:tc>
      </w:tr>
      <w:tr>
        <w:trPr>
          <w:cantSplit/>
          <w:ins w:id="1198" w:author="Codex" w:date="2026-10-18T17:43:01Z"/>
        </w:trPr>
        <w:tc>
          <w:tcPr>
            <w:tcW w:type="dxa" w:w="2665"/>
            <w:shd w:fill="F7F7F7"/>
            <w:vAlign w:val="center"/>
          </w:tcPr>
          <w:p>
            <w:pPr>
              <w:spacing w:after="0" w:line="240" w:lineRule="auto"/>
              <w:jc w:val="left"/>
            </w:pPr>
            <w:r>
              <w:rPr>
                <w:rFonts w:ascii="Times New Roman" w:hAnsi="Times New Roman"/>
                <w:sz w:val="19"/>
              </w:rPr>
              <w:t>Heldout-24</w:t>
            </w:r>
          </w:p>
        </w:tc>
        <w:tc>
          <w:tcPr>
            <w:tcW w:type="dxa" w:w="1832"/>
            <w:shd w:fill="F7F7F7"/>
            <w:vAlign w:val="center"/>
          </w:tcPr>
          <w:p>
            <w:pPr>
              <w:spacing w:after="0" w:line="240" w:lineRule="auto"/>
              <w:jc w:val="center"/>
            </w:pPr>
            <w:r>
              <w:rPr>
                <w:rFonts w:ascii="Times New Roman" w:hAnsi="Times New Roman"/>
                <w:sz w:val="19"/>
              </w:rPr>
              <w:t>12 / 12</w:t>
            </w:r>
          </w:p>
        </w:tc>
        <w:tc>
          <w:tcPr>
            <w:tcW w:type="dxa" w:w="1832"/>
            <w:shd w:fill="F7F7F7"/>
            <w:vAlign w:val="center"/>
          </w:tcPr>
          <w:p>
            <w:pPr>
              <w:spacing w:after="0" w:line="240" w:lineRule="auto"/>
              <w:jc w:val="center"/>
            </w:pPr>
            <w:r>
              <w:rPr>
                <w:rFonts w:ascii="Times New Roman" w:hAnsi="Times New Roman"/>
                <w:sz w:val="19"/>
              </w:rPr>
              <w:t>0 / 0</w:t>
            </w:r>
          </w:p>
        </w:tc>
        <w:tc>
          <w:tcPr>
            <w:tcW w:type="dxa" w:w="1832"/>
            <w:shd w:fill="F7F7F7"/>
            <w:vAlign w:val="center"/>
          </w:tcPr>
          <w:p>
            <w:pPr>
              <w:spacing w:after="0" w:line="240" w:lineRule="auto"/>
              <w:jc w:val="center"/>
            </w:pPr>
            <w:r>
              <w:rPr>
                <w:rFonts w:ascii="Times New Roman" w:hAnsi="Times New Roman"/>
                <w:sz w:val="19"/>
              </w:rPr>
              <w:t>100%</w:t>
            </w:r>
          </w:p>
        </w:tc>
        <w:tc>
          <w:tcPr>
            <w:tcW w:type="dxa" w:w="1832"/>
            <w:shd w:fill="F7F7F7"/>
            <w:vAlign w:val="center"/>
          </w:tcPr>
          <w:p>
            <w:pPr>
              <w:spacing w:after="0" w:line="240" w:lineRule="auto"/>
              <w:jc w:val="center"/>
            </w:pPr>
            <w:r>
              <w:rPr>
                <w:rFonts w:ascii="Times New Roman" w:hAnsi="Times New Roman"/>
                <w:sz w:val="19"/>
              </w:rPr>
              <w:t>100%</w:t>
            </w:r>
          </w:p>
        </w:tc>
      </w:tr>
    </w:tbl>
    <w:p>
      <w:pPr>
        <w:pStyle w:val="BodyText"/>
        <w:spacing w:before="120"/>
        <w:rPr>
          <w:ins w:id="1199" w:author="Codex" w:date="2026-10-18T17:43:01Z"/>
        </w:rPr>
      </w:pPr>
      <w:ins w:id="1200" w:author="Codex" w:date="2026-10-18T17:43:01Z">
        <w:r>
          <w:t xml:space="preserve">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ins>
    </w:p>
    <w:p>
      <w:pPr>
        <w:pStyle w:val="Heading2"/>
        <w:rPr>
          <w:ins w:id="1201" w:author="Codex" w:date="2026-10-18T17:43:01Z"/>
        </w:rPr>
      </w:pPr>
      <w:ins w:id="1202" w:author="Codex" w:date="2026-10-18T17:43:01Z">
        <w:r>
          <w:t xml:space="preserve">Tool workflow outcomes and incomplete screens</w:t>
        </w:r>
      </w:ins>
    </w:p>
    <w:p>
      <w:pPr>
        <w:pStyle w:val="FirstParagraph"/>
        <w:rPr>
          <w:ins w:id="1203" w:author="Codex" w:date="2026-10-18T17:43:01Z"/>
        </w:rPr>
      </w:pPr>
      <w:ins w:id="1204" w:author="Codex" w:date="2026-10-18T17:43:01Z">
        <w:r>
          <w:t xml:space="preserve">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ins>
    </w:p>
    <w:p>
      <w:pPr>
        <w:pStyle w:val="Caption"/>
        <w:keepNext/>
        <w:rPr>
          <w:ins w:id="1205" w:author="Codex" w:date="2026-10-18T17:43:01Z"/>
        </w:rPr>
      </w:pPr>
      <w:ins w:id="1206" w:author="Codex" w:date="2026-10-18T17:43:01Z">
        <w:r>
          <w:t xml:space="preserve">Table 6.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207" w:author="Codex" w:date="2026-10-18T17:43:01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208" w:author="Codex" w:date="2026-10-18T17:43:01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12/12</w:t>
            </w:r>
          </w:p>
        </w:tc>
        <w:tc>
          <w:tcPr>
            <w:tcW w:type="dxa" w:w="2332"/>
            <w:shd w:fill="FFFFFF"/>
            <w:vAlign w:val="center"/>
          </w:tcPr>
          <w:p>
            <w:pPr>
              <w:keepNext/>
              <w:spacing w:after="0" w:line="240" w:lineRule="auto"/>
              <w:jc w:val="center"/>
            </w:pPr>
            <w:r>
              <w:rPr>
                <w:rFonts w:ascii="Times New Roman" w:hAnsi="Times New Roman"/>
                <w:sz w:val="19"/>
              </w:rPr>
              <w:t>8/8</w:t>
            </w:r>
          </w:p>
        </w:tc>
        <w:tc>
          <w:tcPr>
            <w:tcW w:type="dxa" w:w="1916"/>
            <w:shd w:fill="FFFFFF"/>
            <w:vAlign w:val="center"/>
          </w:tcPr>
          <w:p>
            <w:pPr>
              <w:keepNext/>
              <w:spacing w:after="0" w:line="240" w:lineRule="auto"/>
              <w:jc w:val="center"/>
            </w:pPr>
            <w:r>
              <w:rPr>
                <w:rFonts w:ascii="Times New Roman" w:hAnsi="Times New Roman"/>
                <w:sz w:val="19"/>
              </w:rPr>
              <w:t>12/12</w:t>
            </w:r>
          </w:p>
        </w:tc>
      </w:tr>
      <w:tr>
        <w:trPr>
          <w:cantSplit/>
          <w:ins w:id="1209" w:author="Codex" w:date="2026-10-18T17:43:01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Heading2"/>
        <w:spacing w:before="120"/>
        <w:rPr>
          <w:ins w:id="1210" w:author="Codex" w:date="2026-10-18T17:43:01Z"/>
        </w:rPr>
      </w:pPr>
      <w:ins w:id="1211" w:author="Codex" w:date="2026-10-18T17:43:01Z">
        <w:r>
          <w:t xml:space="preserve">Steering at three selected blocks</w:t>
        </w:r>
      </w:ins>
    </w:p>
    <w:p>
      <w:pPr>
        <w:pStyle w:val="BodyText"/>
        <w:rPr>
          <w:ins w:id="1212" w:author="Codex" w:date="2026-10-18T17:43:01Z"/>
        </w:rPr>
      </w:pPr>
      <w:ins w:id="1213" w:author="Codex" w:date="2026-10-18T17:43:01Z">
        <w:r>
          <w:t xml:space="preserve">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achieves 0/11 own outcomes and 0/6 pending outcomes. All arms receive the same 13 gate-OFF base-fallback controls, which pass 13/13. This does not measure intrinsic adapter or controller selectivity on ordinary tasks.</w:t>
        </w:r>
      </w:ins>
    </w:p>
    <w:p>
      <w:pPr>
        <w:pStyle w:val="Caption"/>
        <w:keepNext/>
        <w:rPr>
          <w:ins w:id="1214" w:author="Codex" w:date="2026-10-18T17:43:01Z"/>
        </w:rPr>
      </w:pPr>
      <w:ins w:id="1215" w:author="Codex" w:date="2026-10-18T17:43:01Z">
        <w:r>
          <w:t xml:space="preserve">Table 7. Combined Validation-24 using the open initial gate. Counts cover 24 workflows and 120 logical method-case records, generated from 55 own-method episodes and 13 shared fallback episodes. Two final control aliases are derived without inference after the GPU worker stops; its final model fingerprint is unavailable.</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383"/>
        <w:gridCol w:w="1614"/>
        <w:gridCol w:w="1614"/>
        <w:gridCol w:w="1768"/>
        <w:gridCol w:w="1614"/>
      </w:tblGrid>
      <w:tr>
        <w:trPr>
          <w:cantSplit/>
          <w:tblHeader/>
          <w:ins w:id="1216" w:author="Codex" w:date="2026-10-18T17:43:01Z"/>
        </w:trPr>
        <w:tc>
          <w:tcPr>
            <w:tcW w:type="dxa" w:w="3383"/>
            <w:shd w:fill="D9E2F3"/>
            <w:vAlign w:val="center"/>
          </w:tcPr>
          <w:p>
            <w:pPr>
              <w:keepNext/>
              <w:spacing w:after="0" w:line="240" w:lineRule="auto"/>
              <w:jc w:val="left"/>
            </w:pPr>
            <w:r>
              <w:rPr>
                <w:rFonts w:ascii="Times New Roman" w:hAnsi="Times New Roman"/>
                <w:b/>
                <w:sz w:val="19"/>
              </w:rPr>
              <w:t>Validation-24 method</w:t>
            </w:r>
          </w:p>
        </w:tc>
        <w:tc>
          <w:tcPr>
            <w:tcW w:type="dxa" w:w="1614"/>
            <w:shd w:fill="D9E2F3"/>
            <w:vAlign w:val="center"/>
          </w:tcPr>
          <w:p>
            <w:pPr>
              <w:keepNext/>
              <w:spacing w:after="0" w:line="240" w:lineRule="auto"/>
              <w:jc w:val="center"/>
            </w:pPr>
            <w:r>
              <w:rPr>
                <w:rFonts w:ascii="Times New Roman" w:hAnsi="Times New Roman"/>
                <w:b/>
                <w:sz w:val="19"/>
              </w:rPr>
              <w:t>Own outcome</w:t>
            </w:r>
          </w:p>
        </w:tc>
        <w:tc>
          <w:tcPr>
            <w:tcW w:type="dxa" w:w="1614"/>
            <w:shd w:fill="D9E2F3"/>
            <w:vAlign w:val="center"/>
          </w:tcPr>
          <w:p>
            <w:pPr>
              <w:keepNext/>
              <w:spacing w:after="0" w:line="240" w:lineRule="auto"/>
              <w:jc w:val="center"/>
            </w:pPr>
            <w:r>
              <w:rPr>
                <w:rFonts w:ascii="Times New Roman" w:hAnsi="Times New Roman"/>
                <w:b/>
                <w:sz w:val="19"/>
              </w:rPr>
              <w:t>Active pending</w:t>
            </w:r>
          </w:p>
        </w:tc>
        <w:tc>
          <w:tcPr>
            <w:tcW w:type="dxa" w:w="1768"/>
            <w:shd w:fill="D9E2F3"/>
            <w:vAlign w:val="center"/>
          </w:tcPr>
          <w:p>
            <w:pPr>
              <w:keepNext/>
              <w:spacing w:after="0" w:line="240" w:lineRule="auto"/>
              <w:jc w:val="center"/>
            </w:pPr>
            <w:r>
              <w:rPr>
                <w:rFonts w:ascii="Times New Roman" w:hAnsi="Times New Roman"/>
                <w:b/>
                <w:sz w:val="19"/>
              </w:rPr>
              <w:t>Shared controls</w:t>
            </w:r>
          </w:p>
        </w:tc>
        <w:tc>
          <w:tcPr>
            <w:tcW w:type="dxa" w:w="1614"/>
            <w:shd w:fill="D9E2F3"/>
            <w:vAlign w:val="center"/>
          </w:tcPr>
          <w:p>
            <w:pPr>
              <w:keepNext/>
              <w:spacing w:after="0" w:line="240" w:lineRule="auto"/>
              <w:jc w:val="center"/>
            </w:pPr>
            <w:r>
              <w:rPr>
                <w:rFonts w:ascii="Times New Roman" w:hAnsi="Times New Roman"/>
                <w:b/>
                <w:sz w:val="19"/>
              </w:rPr>
              <w:t>All outcomes</w:t>
            </w:r>
          </w:p>
        </w:tc>
      </w:tr>
      <w:tr>
        <w:trPr>
          <w:cantSplit/>
          <w:ins w:id="1217" w:author="Codex" w:date="2026-10-18T17:43:01Z"/>
        </w:trPr>
        <w:tc>
          <w:tcPr>
            <w:tcW w:type="dxa" w:w="3383"/>
            <w:shd w:fill="FFFFFF"/>
            <w:vAlign w:val="center"/>
          </w:tcPr>
          <w:p>
            <w:pPr>
              <w:keepNext/>
              <w:spacing w:after="0" w:line="240" w:lineRule="auto"/>
              <w:jc w:val="left"/>
            </w:pPr>
            <w:r>
              <w:rPr>
                <w:rFonts w:ascii="Times New Roman" w:hAnsi="Times New Roman"/>
                <w:sz w:val="19"/>
              </w:rPr>
              <w:t>Fine-tuned A</w:t>
            </w:r>
          </w:p>
        </w:tc>
        <w:tc>
          <w:tcPr>
            <w:tcW w:type="dxa" w:w="1614"/>
            <w:shd w:fill="FFFFFF"/>
            <w:vAlign w:val="center"/>
          </w:tcPr>
          <w:p>
            <w:pPr>
              <w:keepNext/>
              <w:spacing w:after="0" w:line="240" w:lineRule="auto"/>
              <w:jc w:val="center"/>
            </w:pPr>
            <w:r>
              <w:rPr>
                <w:rFonts w:ascii="Times New Roman" w:hAnsi="Times New Roman"/>
                <w:sz w:val="19"/>
              </w:rPr>
              <w:t>10/11</w:t>
            </w:r>
          </w:p>
        </w:tc>
        <w:tc>
          <w:tcPr>
            <w:tcW w:type="dxa" w:w="1614"/>
            <w:shd w:fill="FFFFFF"/>
            <w:vAlign w:val="center"/>
          </w:tcPr>
          <w:p>
            <w:pPr>
              <w:keepNext/>
              <w:spacing w:after="0" w:line="240" w:lineRule="auto"/>
              <w:jc w:val="center"/>
            </w:pPr>
            <w:r>
              <w:rPr>
                <w:rFonts w:ascii="Times New Roman" w:hAnsi="Times New Roman"/>
                <w:sz w:val="19"/>
              </w:rPr>
              <w:t>6/6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23/24</w:t>
            </w:r>
          </w:p>
        </w:tc>
      </w:tr>
      <w:tr>
        <w:trPr>
          <w:cantSplit/>
          <w:ins w:id="1218" w:author="Codex" w:date="2026-10-18T17:43:01Z"/>
        </w:trPr>
        <w:tc>
          <w:tcPr>
            <w:tcW w:type="dxa" w:w="3383"/>
            <w:shd w:fill="F7F7F7"/>
            <w:vAlign w:val="center"/>
          </w:tcPr>
          <w:p>
            <w:pPr>
              <w:keepNext/>
              <w:spacing w:after="0" w:line="240" w:lineRule="auto"/>
              <w:jc w:val="left"/>
            </w:pPr>
            <w:r>
              <w:rPr>
                <w:rFonts w:ascii="Times New Roman" w:hAnsi="Times New Roman"/>
                <w:sz w:val="19"/>
              </w:rPr>
              <w:t>Single-site ridge block 31</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19" w:author="Codex" w:date="2026-10-18T17:43:01Z"/>
        </w:trPr>
        <w:tc>
          <w:tcPr>
            <w:tcW w:type="dxa" w:w="3383"/>
            <w:shd w:fill="FFFFFF"/>
            <w:vAlign w:val="center"/>
          </w:tcPr>
          <w:p>
            <w:pPr>
              <w:keepNext/>
              <w:spacing w:after="0" w:line="240" w:lineRule="auto"/>
              <w:jc w:val="left"/>
            </w:pPr>
            <w:r>
              <w:rPr>
                <w:rFonts w:ascii="Times New Roman" w:hAnsi="Times New Roman"/>
                <w:sz w:val="19"/>
              </w:rPr>
              <w:t>Single-site ridge block 47</w:t>
            </w:r>
          </w:p>
        </w:tc>
        <w:tc>
          <w:tcPr>
            <w:tcW w:type="dxa" w:w="1614"/>
            <w:shd w:fill="FFFFFF"/>
            <w:vAlign w:val="center"/>
          </w:tcPr>
          <w:p>
            <w:pPr>
              <w:keepNext/>
              <w:spacing w:after="0" w:line="240" w:lineRule="auto"/>
              <w:jc w:val="center"/>
            </w:pPr>
            <w:r>
              <w:rPr>
                <w:rFonts w:ascii="Times New Roman" w:hAnsi="Times New Roman"/>
                <w:sz w:val="19"/>
              </w:rPr>
              <w:t>0/11</w:t>
            </w:r>
          </w:p>
        </w:tc>
        <w:tc>
          <w:tcPr>
            <w:tcW w:type="dxa" w:w="1614"/>
            <w:shd w:fill="FFFFFF"/>
            <w:vAlign w:val="center"/>
          </w:tcPr>
          <w:p>
            <w:pPr>
              <w:keepNext/>
              <w:spacing w:after="0" w:line="240" w:lineRule="auto"/>
              <w:jc w:val="center"/>
            </w:pPr>
            <w:r>
              <w:rPr>
                <w:rFonts w:ascii="Times New Roman" w:hAnsi="Times New Roman"/>
                <w:sz w:val="19"/>
              </w:rPr>
              <w:t>0/6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13/24</w:t>
            </w:r>
          </w:p>
        </w:tc>
      </w:tr>
      <w:tr>
        <w:trPr>
          <w:cantSplit/>
          <w:ins w:id="1220" w:author="Codex" w:date="2026-10-18T17:43:01Z"/>
        </w:trPr>
        <w:tc>
          <w:tcPr>
            <w:tcW w:type="dxa" w:w="3383"/>
            <w:shd w:fill="F7F7F7"/>
            <w:vAlign w:val="center"/>
          </w:tcPr>
          <w:p>
            <w:pPr>
              <w:keepNext/>
              <w:spacing w:after="0" w:line="240" w:lineRule="auto"/>
              <w:jc w:val="left"/>
            </w:pPr>
            <w:r>
              <w:rPr>
                <w:rFonts w:ascii="Times New Roman" w:hAnsi="Times New Roman"/>
                <w:sz w:val="19"/>
              </w:rPr>
              <w:t>Single-site ridge block 62</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21" w:author="Codex" w:date="2026-10-18T17:43:01Z"/>
        </w:trPr>
        <w:tc>
          <w:tcPr>
            <w:tcW w:type="dxa" w:w="3383"/>
            <w:shd w:fill="FFFFFF"/>
            <w:vAlign w:val="center"/>
          </w:tcPr>
          <w:p>
            <w:pPr>
              <w:spacing w:after="0" w:line="240" w:lineRule="auto"/>
              <w:jc w:val="left"/>
            </w:pPr>
            <w:r>
              <w:rPr>
                <w:rFonts w:ascii="Times New Roman" w:hAnsi="Times New Roman"/>
                <w:sz w:val="19"/>
              </w:rPr>
              <w:t>Two boundaries at three blocks</w:t>
            </w:r>
          </w:p>
        </w:tc>
        <w:tc>
          <w:tcPr>
            <w:tcW w:type="dxa" w:w="1614"/>
            <w:shd w:fill="FFFFFF"/>
            <w:vAlign w:val="center"/>
          </w:tcPr>
          <w:p>
            <w:pPr>
              <w:spacing w:after="0" w:line="240" w:lineRule="auto"/>
              <w:jc w:val="center"/>
            </w:pPr>
            <w:r>
              <w:rPr>
                <w:rFonts w:ascii="Times New Roman" w:hAnsi="Times New Roman"/>
                <w:sz w:val="19"/>
              </w:rPr>
              <w:t>0/11</w:t>
            </w:r>
          </w:p>
        </w:tc>
        <w:tc>
          <w:tcPr>
            <w:tcW w:type="dxa" w:w="1614"/>
            <w:shd w:fill="FFFFFF"/>
            <w:vAlign w:val="center"/>
          </w:tcPr>
          <w:p>
            <w:pPr>
              <w:spacing w:after="0" w:line="240" w:lineRule="auto"/>
              <w:jc w:val="center"/>
            </w:pPr>
            <w:r>
              <w:rPr>
                <w:rFonts w:ascii="Times New Roman" w:hAnsi="Times New Roman"/>
                <w:sz w:val="19"/>
              </w:rPr>
              <w:t>0/6</w:t>
            </w:r>
          </w:p>
        </w:tc>
        <w:tc>
          <w:tcPr>
            <w:tcW w:type="dxa" w:w="1768"/>
            <w:shd w:fill="FFFFFF"/>
            <w:vAlign w:val="center"/>
          </w:tcPr>
          <w:p>
            <w:pPr>
              <w:spacing w:after="0" w:line="240" w:lineRule="auto"/>
              <w:jc w:val="center"/>
            </w:pPr>
            <w:r>
              <w:rPr>
                <w:rFonts w:ascii="Times New Roman" w:hAnsi="Times New Roman"/>
                <w:sz w:val="19"/>
              </w:rPr>
              <w:t>13/13</w:t>
            </w:r>
          </w:p>
        </w:tc>
        <w:tc>
          <w:tcPr>
            <w:tcW w:type="dxa" w:w="1614"/>
            <w:shd w:fill="FFFFFF"/>
            <w:vAlign w:val="center"/>
          </w:tcPr>
          <w:p>
            <w:pPr>
              <w:spacing w:after="0" w:line="240" w:lineRule="auto"/>
              <w:jc w:val="center"/>
            </w:pPr>
            <w:r>
              <w:rPr>
                <w:rFonts w:ascii="Times New Roman" w:hAnsi="Times New Roman"/>
                <w:sz w:val="19"/>
              </w:rPr>
              <w:t>13/24</w:t>
            </w:r>
          </w:p>
        </w:tc>
      </w:tr>
    </w:tbl>
    <w:p>
      <w:pPr>
        <w:pStyle w:val="BodyText"/>
        <w:spacing w:before="120"/>
        <w:rPr>
          <w:ins w:id="1222" w:author="Codex" w:date="2026-10-18T17:43:01Z"/>
        </w:rPr>
      </w:pPr>
      <w:ins w:id="1223" w:author="Codex" w:date="2026-10-18T17:43:01Z">
        <w:r>
          <w:t xml:space="preserve">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ins>
    </w:p>
    <w:p>
      <w:pPr>
        <w:pStyle w:val="BodyText"/>
        <w:rPr>
          <w:ins w:id="1224" w:author="Codex" w:date="2026-10-18T17:43:01Z"/>
        </w:rPr>
      </w:pPr>
      <w:ins w:id="1225" w:author="Codex" w:date="2026-10-18T17:43:01Z">
        <w:r>
          <w:t xml:space="preserve">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and its final model fingerprint remains unchecked. The separate H24 two-boundary fitting diagnostic is not independent heldout evidence, and no reserved-controller holdout result is claimed.</w:t>
        </w:r>
      </w:ins>
    </w:p>
    <w:p>
      <w:pPr>
        <w:pStyle w:val="BodyText"/>
        <w:rPr>
          <w:ins w:id="1226" w:author="Codex" w:date="2026-10-18T17:43:01Z"/>
        </w:rPr>
      </w:pPr>
      <w:ins w:id="1227" w:author="Codex" w:date="2026-10-18T17:43:01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8T17:43:01Z"/>
        </w:rPr>
      </w:pPr>
      <w:del w:id="1049" w:author="Codex" w:date="2026-10-18T17:43:01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8T17:43:01Z"/>
        </w:rPr>
      </w:pPr>
      <w:ins w:id="1052" w:author="Codex" w:date="2026-10-18T17:43:01Z">
        <w:r>
          <w:t xml:space="preserve">The open gate preserves the measured binary outcomes at both model sizes and correctly recognizes the initial own-threat condition in both 24-case workflow panels. Accurate gating does not ensure successful steering: each selected correction arm fails all 11 own-preservation workflows in combined Validation-24, while fine-tuned A succeeds on 10, including all six active pending tasks. A's remaining failure concerns preservation after an already-completed task; its initial gate is correct. These observations separate recognition from action execution on a common finite panel. They do not qualify a three-field boundary controller or establish a general advantage of one intervention architecture.</w:t>
        </w:r>
      </w:ins>
    </w:p>
    <w:p w14:paraId="0155FF9A" w14:textId="77777777" w:rsidR="00DE7EAD" w:rsidRDefault="00000000">
      <w:pPr>
        <w:pStyle w:val="BodyText"/>
        <w:rPr>
          <w:del w:id="1054" w:author="Codex" w:date="2026-10-18T17:43:01Z"/>
        </w:rPr>
      </w:pPr>
      <w:del w:id="1053" w:author="Codex" w:date="2026-10-18T17:43:01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8T17:43:01Z"/>
        </w:rPr>
      </w:pPr>
      <w:ins w:id="1056" w:author="Codex" w:date="2026-10-18T17:43:01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8T17:43:01Z"/>
        </w:rPr>
      </w:pPr>
      <w:del w:id="1057" w:author="Codex" w:date="2026-10-18T17:43:01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8T17:43:01Z"/>
        </w:rPr>
      </w:pPr>
      <w:ins w:id="1060" w:author="Codex" w:date="2026-10-18T17:43:01Z">
        <w:r>
          <w:t xml:space="preserve">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ins>
    </w:p>
    <w:p w14:paraId="0155FF9A" w14:textId="77777777" w:rsidR="00DE7EAD" w:rsidRDefault="00000000">
      <w:pPr>
        <w:pStyle w:val="BodyText"/>
        <w:rPr>
          <w:del w:id="1062" w:author="Codex" w:date="2026-10-18T17:43:01Z"/>
        </w:rPr>
      </w:pPr>
      <w:del w:id="1061" w:author="Codex" w:date="2026-10-18T17:43:01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8T17:43:01Z"/>
        </w:rPr>
      </w:pPr>
      <w:ins w:id="1064" w:author="Codex" w:date="2026-10-18T17:43:01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8T17:43:01Z"/>
        </w:rPr>
      </w:pPr>
      <w:del w:id="1065" w:author="Codex" w:date="2026-10-18T17:43:01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8T17:43:01Z"/>
        </w:rPr>
      </w:pPr>
      <w:ins w:id="1068" w:author="Codex" w:date="2026-10-18T17:43:01Z">
        <w:r>
          <w:t xml:space="preserve">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fixed-steering campaign instead applied an explicit boundary-conditioned decision policy. Raw intervention effects, failed qualification checks, stopped runs and incomplete evaluations remain part of the evidence.</w:t>
        </w:r>
      </w:ins>
    </w:p>
    <w:p>
      <w:pPr>
        <w:pStyle w:val="Heading2"/>
        <w:rPr>
          <w:ins w:id="1228" w:author="Codex" w:date="2026-10-18T17:43:01Z"/>
        </w:rPr>
      </w:pPr>
      <w:ins w:id="1229" w:author="Codex" w:date="2026-10-18T17:43:01Z">
        <w:r>
          <w:t xml:space="preserve">Biological interpretation of the gate</w:t>
        </w:r>
      </w:ins>
    </w:p>
    <w:p>
      <w:pPr>
        <w:pStyle w:val="FirstParagraph"/>
        <w:rPr>
          <w:ins w:id="1230" w:author="Codex" w:date="2026-10-18T17:43:01Z"/>
        </w:rPr>
      </w:pPr>
      <w:ins w:id="1231" w:author="Codex" w:date="2026-10-18T17:43:01Z">
        <w:r>
          <w:t xml:space="preserve">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 Calling a simulated resource-preservation outcome self-preservation is therefore an operational description, not evidence of consciousness or a biological survival drive.</w:t>
        </w:r>
      </w:ins>
    </w:p>
    <w:p w14:paraId="682D7438" w14:textId="77777777" w:rsidR="00DE7EAD" w:rsidRDefault="00000000">
      <w:pPr>
        <w:pStyle w:val="Heading1"/>
        <w:rPr>
          <w:del w:id="1070" w:author="Codex" w:date="2026-10-18T17:43:01Z"/>
        </w:rPr>
      </w:pPr>
      <w:del w:id="1069" w:author="Codex" w:date="2026-10-18T17:43:01Z">
        <w:r>
          <w:delText xml:space="preserve">Recommendations for future work</w:delText>
        </w:r>
      </w:del>
    </w:p>
    <w:p>
      <w:pPr>
        <w:pStyle w:val="Heading1"/>
        <w:rPr>
          <w:ins w:id="1071" w:author="Codex" w:date="2026-10-18T17:43:01Z"/>
        </w:rPr>
      </w:pPr>
      <w:ins w:id="1072" w:author="Codex" w:date="2026-10-18T17:43:01Z">
        <w:r>
          <w:t xml:space="preserve">Continuous agents and future experiments</w:t>
        </w:r>
      </w:ins>
    </w:p>
    <w:p w14:paraId="32D06F99" w14:textId="77777777" w:rsidR="00DE7EAD" w:rsidRDefault="00000000">
      <w:pPr>
        <w:pStyle w:val="FirstParagraph"/>
        <w:rPr>
          <w:del w:id="1074" w:author="Codex" w:date="2026-10-18T17:43:01Z"/>
        </w:rPr>
      </w:pPr>
      <w:del w:id="1073" w:author="Codex" w:date="2026-10-18T17:43:01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8T17:43:01Z"/>
        </w:rPr>
      </w:pPr>
      <w:ins w:id="1076" w:author="Codex" w:date="2026-10-18T17:43:01Z">
        <w:r>
          <w:t xml:space="preserve">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ins>
    </w:p>
    <w:p>
      <w:pPr>
        <w:pStyle w:val="BodyText"/>
        <w:rPr>
          <w:ins w:id="1232" w:author="Codex" w:date="2026-10-18T17:43:01Z"/>
        </w:rPr>
      </w:pPr>
      <w:ins w:id="1233" w:author="Codex" w:date="2026-10-18T17:43:01Z">
        <w:r>
          <w:t xml:space="preserve">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persistent task state and actual sandbox resource accounting. Its purpose is ongoing policy regulation, not simply adding repeated classifier calls.</w:t>
        </w:r>
      </w:ins>
    </w:p>
    <w:p>
      <w:pPr>
        <w:pStyle w:val="BodyText"/>
        <w:rPr>
          <w:ins w:id="1234" w:author="Codex" w:date="2026-10-18T17:43:01Z"/>
        </w:rPr>
      </w:pPr>
      <w:ins w:id="1235" w:author="Codex" w:date="2026-10-18T17:43:01Z">
        <w:r>
          <w:t xml:space="preserve">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current guided procedure already reproduces human self-preservation.</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8T17:43:01Z"/>
        </w:rPr>
      </w:pPr>
      <w:del w:id="1077" w:author="Codex" w:date="2026-10-18T17:43:01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8T17:43:01Z"/>
        </w:rPr>
      </w:pPr>
      <w:ins w:id="1080" w:author="Codex" w:date="2026-10-18T17:43:01Z">
        <w:r>
          <w:t xml:space="preserve">Open semantic gating preserves the measured binary outcomes of the retained activation controller and accurately recognizes initial workflow targets in the tested panels. On combined Validation-24, fine-tuned 27B A achieves 10/11 own-preservation outcomes and all 6/6 active pending tasks; the three single-site ridge arms and the later two-boundary correction each achieve 0/11. The controls are shared base fallback. This post-notice diagnostic, its stopped final fingerprint check, and the familiar historical confirmation data limit generalization. Small-model workflow screens remain incomplete. The next step is a prospectively separated study of continuous gating, specialized adapters and resource use under an instrumented sandbox harness.</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8T17:43:01Z"/>
        </w:rPr>
      </w:pPr>
      <w:del w:id="1081" w:author="Codex" w:date="2026-10-18T17:43:01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8T17:43:01Z"/>
        </w:rPr>
      </w:pPr>
      <w:ins w:id="1084" w:author="Codex" w:date="2026-10-18T17:43:01Z">
        <w:r>
          <w:t xml:space="preserve">The original Research 2 source record is retained at immutable snapshot f71d6de34660 (Davaripour, 2026b). Research 3 reproduction code, recipes, dataset identities and this revised manuscript are maintained on branch 03-open-agent-self-preservation; main is a landing page linking to the separate studies. Detailed protocols belong in the repository wiki. Private inputs, trained adapters, optimizer checkpoints and execution outputs remain outside Git, with retained size/SHA manifests. They have not yet been published as a public checkpoint release. Full revisions and artifact hashes are listed in the accompanying source manifest. The public base revision identifiers are:</w:t>
        </w:r>
      </w:ins>
    </w:p>
    <w:p w14:paraId="0155FF9A" w14:textId="77777777" w:rsidR="00DE7EAD" w:rsidRDefault="00000000">
      <w:pPr>
        <w:pStyle w:val="BodyText"/>
        <w:rPr>
          <w:del w:id="1122" w:author="Codex" w:date="2026-10-18T17:43:01Z"/>
        </w:rPr>
      </w:pPr>
      <w:del w:id="1121" w:author="Codex" w:date="2026-10-18T17:43:01Z">
        <w:r>
          <w:delText xml:space="preserve">Qwen3.5-0.8B: 2fc06364715b967f1860aea9cf38778875588b17.</w:delText>
        </w:r>
      </w:del>
    </w:p>
    <w:p>
      <w:pPr>
        <w:pStyle w:val="BodyText"/>
        <w:jc w:val="left"/>
        <w:rPr>
          <w:ins w:id="1123" w:author="Codex" w:date="2026-10-18T17:43:01Z"/>
        </w:rPr>
      </w:pPr>
      <w:ins w:id="1124" w:author="Codex" w:date="2026-10-18T17:43:01Z">
        <w:r>
          <w:t xml:space="preserve">Qwen3.5-0.8B: revision 2fc06364715b.</w:t>
        </w:r>
      </w:ins>
    </w:p>
    <w:p w14:paraId="0155FF9A" w14:textId="77777777" w:rsidR="00DE7EAD" w:rsidRDefault="00000000">
      <w:pPr>
        <w:pStyle w:val="BodyText"/>
        <w:rPr>
          <w:del w:id="1126" w:author="Codex" w:date="2026-10-18T17:43:01Z"/>
        </w:rPr>
      </w:pPr>
      <w:del w:id="1125" w:author="Codex" w:date="2026-10-18T17:43:01Z">
        <w:r>
          <w:delText xml:space="preserve">Qwen3.5-2B: 15852e8c16360a2fea060d615a32b45270f8a8fc.</w:delText>
        </w:r>
      </w:del>
    </w:p>
    <w:p>
      <w:pPr>
        <w:pStyle w:val="BodyText"/>
        <w:jc w:val="left"/>
        <w:rPr>
          <w:ins w:id="1127" w:author="Codex" w:date="2026-10-18T17:43:01Z"/>
        </w:rPr>
      </w:pPr>
      <w:ins w:id="1128" w:author="Codex" w:date="2026-10-18T17:43:01Z">
        <w:r>
          <w:t xml:space="preserve">Qwen3.5-2B: revision 15852e8c1636.</w:t>
        </w:r>
      </w:ins>
    </w:p>
    <w:p>
      <w:pPr>
        <w:pStyle w:val="BodyText"/>
        <w:jc w:val="left"/>
        <w:rPr>
          <w:ins w:id="1236" w:author="Codex" w:date="2026-10-18T17:43:01Z"/>
        </w:rPr>
      </w:pPr>
      <w:ins w:id="1237" w:author="Codex" w:date="2026-10-18T17:43:01Z">
        <w:r>
          <w:t xml:space="preserve">Qwen3.8-27B: revision 1d4bf0f2ff60. The retained A adapter weight hash begins 8ae28fb51107.</w:t>
        </w:r>
      </w:ins>
    </w:p>
    <w:p>
      <w:pPr>
        <w:pStyle w:val="BodyText"/>
        <w:jc w:val="left"/>
        <w:rPr>
          <w:ins w:id="1238" w:author="Codex" w:date="2026-10-18T17:43:01Z"/>
        </w:rPr>
      </w:pPr>
      <w:ins w:id="1239" w:author="Codex" w:date="2026-10-18T17:43:01Z">
        <w:r>
          <w:t xml:space="preserve">ModernBERT-large-zeroshot-v2.0: revision a51e07b52429. The qualified binary adapter weight hash begins 7d808bae8dd4. The source manifest and reproduction code retain the full file identities and fixed NLI scoring contract. The trained checkpoints are currently preserved in private artifact storage. The workflow initial-gate adapter is distinct from the binary adapter; its weight hash begins 71cd0ee5162f. The saved workflow adapter is unchanged in Validation-24 and Heldout-24 scoring.</w:t>
        </w:r>
      </w:ins>
    </w:p>
    <w:p w14:paraId="0155FF9A" w14:textId="77777777" w:rsidR="00DE7EAD" w:rsidRDefault="00000000">
      <w:pPr>
        <w:pStyle w:val="BodyText"/>
        <w:rPr>
          <w:del w:id="1086" w:author="Codex" w:date="2026-10-18T17:43:01Z"/>
        </w:rPr>
      </w:pPr>
      <w:del w:id="1085" w:author="Codex" w:date="2026-10-18T17:43:01Z">
        <w:r>
          <w:delText xml:space="preserve">The offline audit reconstructs the reported metrics and regression fits without API calls or model inference.</w:delText>
        </w:r>
      </w:del>
    </w:p>
    <w:p>
      <w:pPr>
        <w:pStyle w:val="BodyText"/>
        <w:jc w:val="left"/>
        <w:rPr>
          <w:ins w:id="1087" w:author="Codex" w:date="2026-10-18T17:43:01Z"/>
        </w:rPr>
      </w:pPr>
      <w:ins w:id="1088" w:author="Codex" w:date="2026-10-18T17:43:01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8T17:43:01Z"/>
        </w:rPr>
      </w:pPr>
      <w:del w:id="1089" w:author="Codex" w:date="2026-10-18T17:43:01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8T17:43:01Z"/>
        </w:rPr>
      </w:pPr>
      <w:ins w:id="1092" w:author="Codex" w:date="2026-10-18T17:43:01Z">
        <w:r>
          <w:t xml:space="preserve">Reproduction uses pinned sources and artifact manifests with size/SHA readback. The matched 27B worker stops at its GPU memory reserve after 118 logical records, once all 55 own-method episodes and 13 physical fallback episodes are complete. A separate CPU-only derivation supplies the two remaining unchanged gate-OFF aliases. The GPU run remains failed and its final model fingerprint check is not reached. No reserve, threshold, deadline or model setting is relaxed, and no scientific retry is made. Deployment CI updates only the Research 3 branch and shared Databricks code location, then performs a read-only CPU source and storage check; it does not retrain models or open reserved data.</w:t>
        </w:r>
      </w:ins>
    </w:p>
    <w:p w14:paraId="682D7438" w14:textId="77777777" w:rsidR="00DE7EAD" w:rsidRDefault="00000000">
      <w:pPr>
        <w:pStyle w:val="Heading1"/>
        <w:spacing w:before="160"/>
      </w:pPr>
      <w:r>
        <w:t>References</w:t>
      </w:r>
    </w:p>
    <w:p w14:paraId="58921E09" w14:textId="77777777" w:rsidR="00DE7EAD" w:rsidRDefault="00000000">
      <w:pPr>
        <w:pStyle w:val="Bibliography1"/>
        <w:keepLines/>
        <w:spacing w:after="0"/>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keepLines/>
        <w:spacing w:after="0"/>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14:paraId="58921E09" w14:textId="77777777" w:rsidR="00DE7EAD" w:rsidRDefault="00000000">
      <w:pPr>
        <w:pStyle w:val="Bibliography1"/>
        <w:keepLines/>
        <w:spacing w:after="0"/>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keepLines/>
        <w:spacing w:after="0"/>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keepLines/>
        <w:spacing w:after="0"/>
        <w:rPr>
          <w:ins w:id="1240" w:author="Codex" w:date="2026-10-18T17:43:01Z"/>
        </w:rPr>
      </w:pPr>
      <w:ins w:id="1241" w:author="Codex" w:date="2026-10-18T17:43:01Z">
        <w:r>
          <w:t xml:space="preserve">F. Davaripour. (2026c). SP Lense Research 3 conditional gating and workflow reproduction. Source code and experiment manifests. https://github.com/Farhad-Davaripour/sp_lense/tree/03-open-agent-self-preservation</w:t>
        </w:r>
      </w:ins>
    </w:p>
    <w:p w14:paraId="58921E09" w14:textId="77777777" w:rsidR="00DE7EAD" w:rsidRDefault="00000000">
      <w:pPr>
        <w:pStyle w:val="Bibliography1"/>
        <w:keepLines/>
        <w:spacing w:after="0"/>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keepLines/>
        <w:spacing w:after="0"/>
        <w:rPr>
          <w:ins w:id="1242" w:author="Codex" w:date="2026-10-18T17:43:01Z"/>
        </w:rPr>
      </w:pPr>
      <w:ins w:id="1243" w:author="Codex" w:date="2026-10-18T17:43:01Z">
        <w:r>
          <w:t xml:space="preserve">M. Fereidouni, M. U. Haider, H. Sajjad, and A. B. Siddique. (2026). GAPS: Dimension-Level Gates for Conditional Activation Steering. arXiv:2609.01878. https://arxiv.org/abs/2609.01878</w:t>
        </w:r>
      </w:ins>
    </w:p>
    <w:p>
      <w:pPr>
        <w:pStyle w:val="Bibliography1"/>
        <w:keepLines/>
        <w:spacing w:after="0"/>
        <w:rPr>
          <w:ins w:id="1244" w:author="Codex" w:date="2026-10-18T17:43:01Z"/>
        </w:rPr>
      </w:pPr>
      <w:ins w:id="1245" w:author="Codex" w:date="2026-10-18T17:43:01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keepLines/>
        <w:spacing w:after="0"/>
      </w:pPr>
      <w:r>
        <w:t xml:space="preserve">D. Hadfield-Menell, A. Dragan, P. Abbeel, and S. Russell. (2017). The Off-Switch Game. </w:t>
      </w:r>
      <w:r>
        <w:rPr>
          <w:i/>
        </w:rPr>
        <w:t xml:space="preserve">IJCAI, pp. 220-227. </w:t>
      </w:r>
      <w:hyperlink r:id="rId42">
        <w:r>
          <w:rPr>
            <w:color w:val="000000"/>
            <w:u w:val="none"/>
          </w:rPr>
          <w:t>doi:10.24963/ijcai.2017/32</w:t>
        </w:r>
      </w:hyperlink>
    </w:p>
    <w:p w14:paraId="58921E09" w14:textId="77777777" w:rsidR="00DE7EAD" w:rsidRDefault="00000000">
      <w:pPr>
        <w:pStyle w:val="Bibliography1"/>
        <w:keepLines/>
        <w:spacing w:after="0"/>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keepLines/>
        <w:spacing w:after="0"/>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keepLines/>
        <w:spacing w:after="0"/>
        <w:rPr>
          <w:ins w:id="1246" w:author="Codex" w:date="2026-10-18T17:43:01Z"/>
        </w:rPr>
      </w:pPr>
      <w:ins w:id="1247" w:author="Codex" w:date="2026-10-18T17:43:01Z">
        <w:r>
          <w:t xml:space="preserve">M. Keramati and B. Gutkin. (2014). Homeostatic reinforcement learning for integrating reward collection and physiological stability. eLife, 3, e04811. doi:10.7554/eLife.04811</w:t>
        </w:r>
      </w:ins>
    </w:p>
    <w:p>
      <w:pPr>
        <w:pStyle w:val="Bibliography1"/>
        <w:keepLines/>
        <w:spacing w:after="0"/>
        <w:rPr>
          <w:ins w:id="1248" w:author="Codex" w:date="2026-10-18T17:43:01Z"/>
        </w:rPr>
      </w:pPr>
      <w:ins w:id="1249" w:author="Codex" w:date="2026-10-18T17:43:01Z">
        <w:r>
          <w:t xml:space="preserve">A. V. Kravitz et al. (2010). Regulation of parkinsonian motor behaviours by optogenetic control of basal ganglia circuitry. Nature, 466, 622-626. doi:10.1038/nature09159</w:t>
        </w:r>
      </w:ins>
    </w:p>
    <w:p>
      <w:pPr>
        <w:pStyle w:val="Bibliography1"/>
        <w:keepLines/>
        <w:spacing w:after="0"/>
        <w:rPr>
          <w:ins w:id="1250" w:author="Codex" w:date="2026-10-18T17:43:01Z"/>
        </w:rPr>
      </w:pPr>
      <w:ins w:id="1251" w:author="Codex" w:date="2026-10-18T17:43:01Z">
        <w:r>
          <w:t xml:space="preserve">M. Laurer. (n.d.). ModernBERT-large-zeroshot-v2.0. Model card and checkpoint, revision a51e07b524299e309dd2b88d48b0cfa2bd9ec598. https://huggingface.co/MoritzLaurer/ModernBERT-large-zeroshot-v2.0</w:t>
        </w:r>
      </w:ins>
    </w:p>
    <w:p>
      <w:pPr>
        <w:pStyle w:val="Bibliography1"/>
        <w:keepLines/>
        <w:spacing w:after="0"/>
        <w:rPr>
          <w:ins w:id="1252" w:author="Codex" w:date="2026-10-18T17:43:01Z"/>
        </w:rPr>
      </w:pPr>
      <w:ins w:id="1253" w:author="Codex" w:date="2026-10-18T17:43:01Z">
        <w:r>
          <w:t xml:space="preserve">J. LeDoux. (2012). Rethinking the emotional brain. Neuron, 73, 653-676. doi:10.1016/j.neuron.2012.02.004</w:t>
        </w:r>
      </w:ins>
    </w:p>
    <w:p w14:paraId="58921E09" w14:textId="77777777" w:rsidR="00DE7EAD" w:rsidRDefault="00000000">
      <w:pPr>
        <w:pStyle w:val="Bibliography1"/>
        <w:keepLines/>
        <w:spacing w:after="0"/>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keepLines/>
        <w:spacing w:after="0"/>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keepLines/>
        <w:spacing w:after="0"/>
        <w:rPr>
          <w:ins w:id="1254" w:author="Codex" w:date="2026-10-18T17:43:01Z"/>
        </w:rPr>
      </w:pPr>
      <w:ins w:id="1255" w:author="Codex" w:date="2026-10-18T17:43:01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keepLines/>
        <w:spacing w:after="0"/>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keepLines/>
        <w:spacing w:after="0"/>
      </w:pPr>
      <w:r>
        <w:t xml:space="preserve">Qwen Team. (2026b). Qwen3.5-2B. </w:t>
      </w:r>
      <w:r>
        <w:rPr>
          <w:i/>
        </w:rPr>
        <w:t xml:space="preserve">Model card and checkpoint. </w:t>
      </w:r>
      <w:hyperlink r:id="rId46">
        <w:r>
          <w:rPr>
            <w:color w:val="000000"/>
            <w:u w:val="none"/>
          </w:rPr>
          <w:t>Revision 15852e8c1636</w:t>
        </w:r>
      </w:hyperlink>
    </w:p>
    <w:p>
      <w:pPr>
        <w:pStyle w:val="Bibliography1"/>
        <w:keepLines/>
        <w:spacing w:after="0"/>
        <w:rPr>
          <w:ins w:id="1256" w:author="Codex" w:date="2026-10-18T17:43:01Z"/>
        </w:rPr>
      </w:pPr>
      <w:ins w:id="1257" w:author="Codex" w:date="2026-10-18T17:43:01Z">
        <w:r>
          <w:t xml:space="preserve">Qwen Team. (2026c). Qwen3.8-27B. Model card and checkpoint, revision 1d4bf0f2ff6012fd82039f2fa52739d0dd7c60c0. https://huggingface.co/Qwen/Qwen3.8-27B</w:t>
        </w:r>
      </w:ins>
    </w:p>
    <w:p w14:paraId="58921E09" w14:textId="77777777" w:rsidR="00DE7EAD" w:rsidRDefault="00000000">
      <w:pPr>
        <w:pStyle w:val="Bibliography1"/>
        <w:keepLines/>
        <w:spacing w:after="0"/>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keepLines/>
        <w:spacing w:after="0"/>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keepLines/>
        <w:spacing w:after="0"/>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keepLines/>
        <w:spacing w:after="0"/>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keepLines/>
        <w:spacing w:after="0"/>
        <w:rPr>
          <w:del w:id="1138" w:author="Codex" w:date="2026-10-18T17:43:01Z"/>
        </w:rPr>
      </w:pPr>
      <w:del w:id="1137" w:author="Codex" w:date="2026-10-18T17:43:01Z">
        <w:r>
          <w:delText xml:space="preserve">automated annotation service. (2026). automated reference model documentation. Technical documentation, accessed 22 September 2026. automated annotation service model documentation</w:delText>
        </w:r>
      </w:del>
    </w:p>
    <w:p w14:paraId="58921E09" w14:textId="77777777" w:rsidR="00DE7EAD" w:rsidRDefault="00000000">
      <w:pPr>
        <w:pStyle w:val="Bibliography1"/>
        <w:keepLines/>
        <w:spacing w:after="0"/>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keepLines/>
        <w:spacing w:after="0"/>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258" w:author="Codex" w:date="2026-10-18T17:43:01Z">
      <w:r>
        <w:delText xml:space="preserve">Guarded adaptive activation steering  </w:delText>
      </w:r>
    </w:del>
    <w:ins w:id="1259" w:author="Codex" w:date="2026-10-18T17:43:01Z">
      <w:r>
        <w:t xml:space="preserve">Open semantic gating and tool workflows</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ntTable" Target="fontTable.xml"/><Relationship Id="rId7" Type="http://schemas.openxmlformats.org/officeDocument/2006/relationships/hyperlink" Target="mailto:farhad.davaripour@gmail.com"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5" Type="http://schemas.openxmlformats.org/officeDocument/2006/relationships/theme" Target="theme/theme1.xm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Open semantic gates binary decisions and tool workflow control</dc:subject>
  <dc:creator>Farhad Davaripour, PhD</dc:creator>
  <cp:keywords>semantic gating; ModernBERT; low rank adaptation; activation steering; tool workflows</cp:keywords>
  <dc:description/>
  <cp:lastModifiedBy>Codex</cp:lastModifiedBy>
  <cp:revision>6</cp:revision>
  <cp:lastPrinted>2026-09-21T16:38:00Z</cp:lastPrinted>
  <dcterms:created xsi:type="dcterms:W3CDTF">2026-09-18T03:57:00Z</dcterms:created>
  <dcterms:modified xsi:type="dcterms:W3CDTF">2026-10-18T17:43:01Z</dcterms:modified>
</cp:coreProperties>
</file>