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One-line captions for the 10th draft</w:t>
      </w:r>
    </w:p>
    <w:p>
      <w:r>
        <w:rPr>
          <w:i/>
          <w:color w:val="6B7280"/>
        </w:rPr>
        <w:t>Each block below replaces the matching Caption_ placeholder in Paper_AI_done.docx (Caption_1 → Figure 2, …, Caption_6 → Figure 7, Caption_7 → Appendix Figure A1, Caption_8 → Appendix Figure A2b). Paste the caption text only, not the bold label. Where an in-text sentence must change for the reference to match the figure, the fix is quoted under “In-text”.</w:t>
      </w:r>
    </w:p>
    <w:p>
      <w:pPr>
        <w:spacing w:before="200"/>
      </w:pPr>
      <w:r>
        <w:rPr>
          <w:b/>
          <w:color w:val="0B7C71"/>
        </w:rPr>
        <w:t>Figure 2  (replaces Caption_1)</w:t>
      </w:r>
    </w:p>
    <w:p>
      <w:r>
        <w:t>Balanced accuracy on the held-out half for the seven models under greedy decoding, Universal CD+APC, VCD, SID, and EGCD, ordered by EGCD's gain over greedy decoding.</w:t>
      </w:r>
    </w:p>
    <w:p>
      <w:pPr>
        <w:spacing w:before="200"/>
      </w:pPr>
      <w:r>
        <w:rPr>
          <w:b/>
          <w:color w:val="0B7C71"/>
        </w:rPr>
        <w:t>Figure 3  (replaces Caption_2)</w:t>
      </w:r>
    </w:p>
    <w:p>
      <w:r>
        <w:t>Change in balanced accuracy relative to greedy decoding, per model and method: Universal CD+APC buys its gains with a 10–14 point collapse on the sound models, while EGCD keeps the gains without the collapse.</w:t>
      </w:r>
    </w:p>
    <w:p>
      <w:pPr>
        <w:spacing w:before="200"/>
      </w:pPr>
      <w:r>
        <w:rPr>
          <w:b/>
          <w:color w:val="0B7C71"/>
        </w:rPr>
        <w:t>Figure 4  (replaces Caption_3)</w:t>
      </w:r>
    </w:p>
    <w:p>
      <w:r>
        <w:t>Recall and Specificity on the held-out half for the four bias-affected models, where Universal CD+APC buys its recall by spending specificity and EGCD recovers most of the recall at a fraction of the specificity cost.</w:t>
      </w:r>
    </w:p>
    <w:p>
      <w:r>
        <w:rPr>
          <w:color w:val="6B7280"/>
          <w:sz w:val="19"/>
        </w:rPr>
        <w:t>In-text (Section 5.2, the paragraph before this figure): end the recall–specificity sentences with “Figure 4 shows the operating points behind these numbers.” — the same paragraph must cite Figure 5 (not Figure 4) for the sweep.</w:t>
      </w:r>
    </w:p>
    <w:p>
      <w:pPr>
        <w:spacing w:before="200"/>
      </w:pPr>
      <w:r>
        <w:rPr>
          <w:b/>
          <w:color w:val="0B7C71"/>
        </w:rPr>
        <w:t>Figure 5  (replaces Caption_4)</w:t>
      </w:r>
    </w:p>
    <w:p>
      <w:r>
        <w:t>Balanced accuracy across the entropy-threshold sweep on the tuning half for the four bias-affected models; the star marks each model's selected threshold τ*.</w:t>
      </w:r>
    </w:p>
    <w:p>
      <w:r>
        <w:rPr>
          <w:color w:val="6B7280"/>
          <w:sz w:val="19"/>
        </w:rPr>
        <w:t>Placement: this image + caption belong at the end of Section 5.2, directly under Figure 4 — not in Section 5.3. In-text: change “Figure 4 sweeps τ over [0.550, 0.750]” to “Figure 5 sweeps τ over [0.550, 0.750]”, and in Section 5.4 change “(Figure 4)” to “(Figure 5)”.</w:t>
      </w:r>
    </w:p>
    <w:p>
      <w:pPr>
        <w:spacing w:before="200"/>
      </w:pPr>
      <w:r>
        <w:rPr>
          <w:b/>
          <w:color w:val="0B7C71"/>
        </w:rPr>
        <w:t>Figure 6  (replaces Caption_5)</w:t>
      </w:r>
    </w:p>
    <w:p>
      <w:r>
        <w:t>The same sweep for the three structurally sound models, where EGCD tracks the greedy baseline everywhere while Universal CD+APC falls up to 14 points below it.</w:t>
      </w:r>
    </w:p>
    <w:p>
      <w:r>
        <w:rPr>
          <w:color w:val="6B7280"/>
          <w:sz w:val="19"/>
        </w:rPr>
        <w:t>In-text (Section 5.3): “Figure 5 shows the sweep for the structurally sound architectures” → “Figure 6 shows the sweep for the structurally sound architectures: Idefics2-8B stays within a 0.7-point band across the entire range, LLaVA-1.5-7B returns its baseline exactly, and LLaVA-v1.6-Mistral-7B merges with its baseline from τ = 0.71 onward.”</w:t>
      </w:r>
    </w:p>
    <w:p>
      <w:pPr>
        <w:spacing w:before="200"/>
      </w:pPr>
      <w:r>
        <w:rPr>
          <w:b/>
          <w:color w:val="0B7C71"/>
        </w:rPr>
        <w:t>Figure 7  (replaces Caption_6)</w:t>
      </w:r>
    </w:p>
    <w:p>
      <w:r>
        <w:t>Gain over greedy decoding across the entropy-threshold sweep for all seven models: every curve returns to zero as τ grows, and on the sound models a loose threshold costs up to 14 points.</w:t>
      </w:r>
    </w:p>
    <w:p>
      <w:r>
        <w:rPr>
          <w:color w:val="6B7280"/>
          <w:sz w:val="19"/>
        </w:rPr>
        <w:t>In-text (Section 5.4): “Figure 7 maps the full sweep for six of the seven models (the Mistral panel follows with its re-run)” → “Figure 7 maps the full sweep for all seven models” (the Mistral curve is the full-set run; the other six are tuning-half).</w:t>
      </w:r>
    </w:p>
    <w:p>
      <w:pPr>
        <w:spacing w:before="200"/>
      </w:pPr>
      <w:r>
        <w:rPr>
          <w:b/>
          <w:color w:val="0B7C71"/>
        </w:rPr>
        <w:t>Appendix Figure A1  (replaces Caption_7)</w:t>
      </w:r>
    </w:p>
    <w:p>
      <w:r>
        <w:t>The held-out results of Table 1 rendered as three heatmaps — Recall, Specificity, and balanced accuracy — with the EGCD column outlined.</w:t>
      </w:r>
    </w:p>
    <w:p>
      <w:pPr>
        <w:spacing w:before="200"/>
      </w:pPr>
      <w:r>
        <w:rPr>
          <w:b/>
          <w:color w:val="0B7C71"/>
        </w:rPr>
        <w:t>Appendix Figure A2a  (NEW placeholder — create it)</w:t>
      </w:r>
    </w:p>
    <w:p>
      <w:r>
        <w:t>The tuning-half sweep grid of Table A1 rendered as a heatmap, with darker cells marking higher balanced accuracy; the dashed end columns are the gate-always-active (CD+APC) and gate-inactive (greedy) limits.</w:t>
      </w:r>
    </w:p>
    <w:p>
      <w:r>
        <w:rPr>
          <w:color w:val="6B7280"/>
          <w:sz w:val="19"/>
        </w:rPr>
        <w:t>Placement: insert figA2a_sweep_heatmap.png between Appendix Figure A1 and Appendix Figure A2b — i.e. directly below the A1 caption, above the A2b image, in that order: A1 image, A1 caption, A2a image, this caption, A2b image, A2b caption.</w:t>
      </w:r>
    </w:p>
    <w:p>
      <w:pPr>
        <w:spacing w:before="200"/>
      </w:pPr>
      <w:r>
        <w:rPr>
          <w:b/>
          <w:color w:val="0B7C71"/>
        </w:rPr>
        <w:t>Appendix Figure A2b  (replaces Caption_8)</w:t>
      </w:r>
    </w:p>
    <w:p>
      <w:r>
        <w:t>Gain over greedy decoding at each model's selected threshold τ* on the tuning half: the gate buys the most exactly where hallucination bias is largest.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