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2937"/>
          <w:sz w:val="40"/>
        </w:rPr>
        <w:t>EGCD Paper</w:t>
      </w:r>
    </w:p>
    <w:p>
      <w:pPr>
        <w:spacing w:after="40"/>
      </w:pPr>
      <w:r>
        <w:rPr>
          <w:b/>
          <w:i w:val="0"/>
          <w:color w:val="0F9D8F"/>
          <w:sz w:val="28"/>
        </w:rPr>
        <w:t>Review Report for the 11th Draft</w:t>
      </w:r>
    </w:p>
    <w:p>
      <w:pPr>
        <w:spacing w:after="200"/>
      </w:pPr>
      <w:r>
        <w:rPr>
          <w:b w:val="0"/>
          <w:i w:val="0"/>
          <w:color w:val="6B7280"/>
          <w:sz w:val="19"/>
        </w:rPr>
        <w:t>Source audited: 11th_draft.docx @ res-con/main  |  every fix below simulated against the live file; each FIND string occurs exactly once</w:t>
      </w:r>
    </w:p>
    <w:p>
      <w:pPr>
        <w:pStyle w:val="Heading1"/>
        <w:spacing w:before="280" w:after="80"/>
      </w:pPr>
      <w:r>
        <w:rPr>
          <w:rFonts w:ascii="Calibri" w:hAnsi="Calibri"/>
          <w:color w:val="0F9D8F"/>
          <w:sz w:val="30"/>
        </w:rPr>
        <w:t>1. Verdict</w:t>
      </w:r>
    </w:p>
    <w:p>
      <w:pPr>
        <w:spacing w:after="120"/>
      </w:pPr>
      <w:r>
        <w:rPr>
          <w:b w:val="0"/>
          <w:i w:val="0"/>
          <w:sz w:val="21"/>
        </w:rPr>
        <w:t>The 11th draft is close to done. Everything requested in the previous round is applied and correct: all nine images are the current versions, every image sits under the paragraph that introduces it, all six duplication repairs are in, the LLaVA-v1.6-Mistral-7B fill is in the gate-routing paragraph, and every prose number traces to Table 1, Table A1 or the results files. What remains is one data typo in Table 1, one broken sentence in Appendix A, one imprecise sentence in 5.4, one notation slip in the 3.2 equation, plus two reference-list leftovers. None of these are structural; all are two-minute edits. Your exclusions were respected: the four "Mistral basis" declarations were deliberately not re-flagged, and after Fix 2 below the paper is fully consistent with presenting LLaVA-1.6 like the other models.</w:t>
      </w:r>
    </w:p>
    <w:p>
      <w:pPr>
        <w:pStyle w:val="Heading1"/>
        <w:spacing w:before="280" w:after="80"/>
      </w:pPr>
      <w:r>
        <w:rPr>
          <w:rFonts w:ascii="Calibri" w:hAnsi="Calibri"/>
          <w:color w:val="0F9D8F"/>
          <w:sz w:val="30"/>
        </w:rPr>
        <w:t>2. Mandatory fixes (4)</w:t>
      </w:r>
    </w:p>
    <w:p>
      <w:pPr>
        <w:spacing w:after="40"/>
      </w:pPr>
      <w:r>
        <w:rPr>
          <w:b/>
          <w:i w:val="0"/>
          <w:color w:val="C0392B"/>
          <w:sz w:val="22"/>
        </w:rPr>
        <w:t>Fix 1 - Table 1, Mistral SID row: Specificity 93.72 is wrong</w:t>
      </w:r>
    </w:p>
    <w:p>
      <w:pPr>
        <w:spacing w:after="120"/>
      </w:pPr>
      <w:r>
        <w:rPr>
          <w:b w:val="0"/>
          <w:i w:val="0"/>
          <w:sz w:val="21"/>
        </w:rPr>
        <w:t>Manual cell edit. In the LLaVA-v1.6-Mistral-7B block, SID row, the Specificity cell reads 93.72. Your JSON (llava-v1.6-mistral-7b-vcd.json) gives SID = 78.36 / 93.76 / 86.06 over all 1,664 items (764 TP, 211 FN, 43 FP, 646 TN). Three independent checks agree it must be 93.76: (a) the JSON recompute above; (b) the row’s own arithmetic - (78.36 + 93.72) / 2 = 86.04, but the row prints 86.06, which only works with 93.76; (c) your own Figure A1 prints 93.8 for exactly this cell, so the table currently contradicts its own figure. With 93.76 the SID row equals the greedy baseline row-for-row, which is what the Abstract ("returns the baseline exactly"), 5.1 ("stays within 0.7 points") and 5.3 all claim. Edit the cell by hand; the string 93.72 occurs once in the document, so Find is safe too.</w:t>
      </w:r>
    </w:p>
    <w:p>
      <w:pPr>
        <w:keepLines/>
        <w:spacing w:after="40"/>
      </w:pPr>
      <w:r>
        <w:rPr>
          <w:b/>
          <w:color w:val="1F2937"/>
          <w:sz w:val="19"/>
        </w:rPr>
        <w:t>FIND:</w:t>
      </w:r>
    </w:p>
    <w:p>
      <w:pPr>
        <w:keepLines/>
        <w:spacing w:after="120"/>
        <w:ind w:left="360"/>
      </w:pPr>
      <w:r>
        <w:rPr>
          <w:rFonts w:ascii="Courier New" w:hAnsi="Courier New"/>
          <w:color w:val="1F2937"/>
          <w:sz w:val="19"/>
        </w:rPr>
        <w:t>93.72</w:t>
      </w:r>
    </w:p>
    <w:p>
      <w:pPr>
        <w:keepLines/>
        <w:spacing w:after="40"/>
      </w:pPr>
      <w:r>
        <w:rPr>
          <w:b/>
          <w:color w:val="1F2937"/>
          <w:sz w:val="19"/>
        </w:rPr>
        <w:t>CHANGE TO:</w:t>
      </w:r>
    </w:p>
    <w:p>
      <w:pPr>
        <w:keepLines/>
        <w:spacing w:after="120"/>
        <w:ind w:left="360"/>
      </w:pPr>
      <w:r>
        <w:rPr>
          <w:rFonts w:ascii="Courier New" w:hAnsi="Courier New"/>
          <w:color w:val="1F2937"/>
          <w:sz w:val="19"/>
        </w:rPr>
        <w:t>93.76</w:t>
      </w:r>
    </w:p>
    <w:p>
      <w:pPr>
        <w:spacing w:after="40"/>
      </w:pPr>
      <w:r>
        <w:rPr>
          <w:b/>
          <w:i w:val="0"/>
          <w:color w:val="C0392B"/>
          <w:sz w:val="22"/>
        </w:rPr>
        <w:t>Fix 2 - Appendix A intro: broken sentence, and the last "old run" leftover</w:t>
      </w:r>
    </w:p>
    <w:p>
      <w:pPr>
        <w:spacing w:after="120"/>
      </w:pPr>
      <w:r>
        <w:rPr>
          <w:b w:val="0"/>
          <w:i w:val="0"/>
          <w:sz w:val="21"/>
        </w:rPr>
        <w:t>The sentence currently reads: "... LLaVA-v1.6-Mistral-7B is absent because its sweep is the earlier full-set run, which Table 1 and Figure 6 on all 1,664 pairs." Two problems: the subordinate clause has no verb (a word was dropped when the daggered phrasing was removed), and "earlier full-set run" is exactly the framing you chose to exclude - it is the only remaining "old run" phrase in the paper, and it clashes with 4.4’s "the split is fixed and identical for all models". Replace the whole sentence with the one below; it stays inside your framing (no basis language anywhere), and it tells the reader where the seventh model actually lives.</w:t>
      </w:r>
    </w:p>
    <w:p>
      <w:pPr>
        <w:keepLines/>
        <w:spacing w:after="40"/>
      </w:pPr>
      <w:r>
        <w:rPr>
          <w:b/>
          <w:color w:val="1F2937"/>
          <w:sz w:val="19"/>
        </w:rPr>
        <w:t>FIND:</w:t>
      </w:r>
    </w:p>
    <w:p>
      <w:pPr>
        <w:keepLines/>
        <w:spacing w:after="120"/>
        <w:ind w:left="360"/>
      </w:pPr>
      <w:r>
        <w:rPr>
          <w:rFonts w:ascii="Courier New" w:hAnsi="Courier New"/>
          <w:color w:val="1F2937"/>
          <w:sz w:val="19"/>
        </w:rPr>
        <w:t>Six of the seven models are listed; LLaVA-v1.6-Mistral-7B is absent because its sweep is the earlier full-set run, which Table 1 and Figure 6 on all 1,664 pairs.</w:t>
      </w:r>
    </w:p>
    <w:p>
      <w:pPr>
        <w:keepLines/>
        <w:spacing w:after="40"/>
      </w:pPr>
      <w:r>
        <w:rPr>
          <w:b/>
          <w:color w:val="1F2937"/>
          <w:sz w:val="19"/>
        </w:rPr>
        <w:t>REPLACE WITH:</w:t>
      </w:r>
    </w:p>
    <w:p>
      <w:pPr>
        <w:keepLines/>
        <w:spacing w:after="120"/>
        <w:ind w:left="360"/>
      </w:pPr>
      <w:r>
        <w:rPr>
          <w:rFonts w:ascii="Courier New" w:hAnsi="Courier New"/>
          <w:color w:val="1F2937"/>
          <w:sz w:val="19"/>
        </w:rPr>
        <w:t>Six of the seven models are listed; the sweep of LLaVA-v1.6-Mistral-7B appears in Figure 6, and its selected threshold τ* = 0.71 is evaluated on the held-out half in Table 1.</w:t>
      </w:r>
    </w:p>
    <w:p>
      <w:pPr>
        <w:spacing w:after="40"/>
      </w:pPr>
      <w:r>
        <w:rPr>
          <w:b/>
          <w:i w:val="0"/>
          <w:color w:val="C0392B"/>
          <w:sz w:val="22"/>
        </w:rPr>
        <w:t>Fix 3 - Section 5.4, first paragraph: wrong threshold and a basis slip</w:t>
      </w:r>
    </w:p>
    <w:p>
      <w:pPr>
        <w:spacing w:after="120"/>
      </w:pPr>
      <w:r>
        <w:rPr>
          <w:b w:val="0"/>
          <w:i w:val="0"/>
          <w:sz w:val="21"/>
        </w:rPr>
        <w:t>Two precision problems in one clause. First, Qwen2-VL-2B peaks at τ = 0.70 and the decline starts immediately after: Table A1 shows 78.00 at 0.70 falling to 77.15 at 0.71, so "Beyond 0.71" contradicts the appendix’s own numbers - the slide is already under way at 0.71. Second, "the 71.50% baseline" is the held-out baseline from Table 1, but the curve being described is Figure 5, which is the tuning half, where the dashed greedy line sits at 71.57. "The greedy baseline" matches the figure’s own dashed-line label and is safe on either half.</w:t>
      </w:r>
    </w:p>
    <w:p>
      <w:pPr>
        <w:keepLines/>
        <w:spacing w:after="40"/>
      </w:pPr>
      <w:r>
        <w:rPr>
          <w:b/>
          <w:color w:val="1F2937"/>
          <w:sz w:val="19"/>
        </w:rPr>
        <w:t>FIND:</w:t>
      </w:r>
    </w:p>
    <w:p>
      <w:pPr>
        <w:keepLines/>
        <w:spacing w:after="120"/>
        <w:ind w:left="360"/>
      </w:pPr>
      <w:r>
        <w:rPr>
          <w:rFonts w:ascii="Courier New" w:hAnsi="Courier New"/>
          <w:color w:val="1F2937"/>
          <w:sz w:val="19"/>
        </w:rPr>
        <w:t>Beyond 0.71 the curve slides back down toward the 71.50% baseline</w:t>
      </w:r>
    </w:p>
    <w:p>
      <w:pPr>
        <w:keepLines/>
        <w:spacing w:after="40"/>
      </w:pPr>
      <w:r>
        <w:rPr>
          <w:b/>
          <w:color w:val="1F2937"/>
          <w:sz w:val="19"/>
        </w:rPr>
        <w:t>REPLACE WITH:</w:t>
      </w:r>
    </w:p>
    <w:p>
      <w:pPr>
        <w:keepLines/>
        <w:spacing w:after="120"/>
        <w:ind w:left="360"/>
      </w:pPr>
      <w:r>
        <w:rPr>
          <w:rFonts w:ascii="Courier New" w:hAnsi="Courier New"/>
          <w:color w:val="1F2937"/>
          <w:sz w:val="19"/>
        </w:rPr>
        <w:t>Beyond 0.70 the curve slides back down toward the greedy baseline</w:t>
      </w:r>
    </w:p>
    <w:p>
      <w:pPr>
        <w:spacing w:after="40"/>
      </w:pPr>
      <w:r>
        <w:rPr>
          <w:b/>
          <w:i w:val="0"/>
          <w:color w:val="C0392B"/>
          <w:sz w:val="22"/>
        </w:rPr>
        <w:t>Fix 4 - Section 3.2 displayed equation: y_t inside a first-token quantity</w:t>
      </w:r>
    </w:p>
    <w:p>
      <w:pPr>
        <w:spacing w:after="120"/>
      </w:pPr>
      <w:r>
        <w:rPr>
          <w:b w:val="0"/>
          <w:i w:val="0"/>
          <w:sz w:val="21"/>
        </w:rPr>
        <w:t>The entropy equation for H(Y₁) currently sums P_std(y_t | X_v, X_t) log P_std(y_t | X_v, X_t) - the step-t symbol inside a first-token quantity. Algorithm 1’s version of the same line is already correct (it uses P_std(y)). Double-click the equation and change the two yₜ subscripts to y, so the display reads:</w:t>
      </w:r>
    </w:p>
    <w:p>
      <w:pPr>
        <w:keepLines/>
        <w:spacing w:after="40"/>
      </w:pPr>
      <w:r>
        <w:rPr>
          <w:b/>
          <w:color w:val="1F2937"/>
          <w:sz w:val="19"/>
        </w:rPr>
        <w:t>RESULT:</w:t>
      </w:r>
    </w:p>
    <w:p>
      <w:pPr>
        <w:keepLines/>
        <w:spacing w:after="120"/>
        <w:ind w:left="360"/>
      </w:pPr>
      <w:r>
        <w:rPr>
          <w:rFonts w:ascii="Courier New" w:hAnsi="Courier New"/>
          <w:color w:val="1F2937"/>
          <w:sz w:val="19"/>
        </w:rPr>
        <w:t>H(Y₁) = − Σ y∈V  P_std(y | X_v, X_t) log P_std(y | X_v, X_t)</w:t>
      </w:r>
    </w:p>
    <w:p>
      <w:pPr>
        <w:pStyle w:val="Heading1"/>
        <w:spacing w:before="280" w:after="80"/>
      </w:pPr>
      <w:r>
        <w:rPr>
          <w:rFonts w:ascii="Calibri" w:hAnsi="Calibri"/>
          <w:color w:val="0F9D8F"/>
          <w:sz w:val="30"/>
        </w:rPr>
        <w:t>3. Reference-list fixes (2 left over from the last round)</w:t>
      </w:r>
    </w:p>
    <w:p>
      <w:pPr>
        <w:spacing w:after="40"/>
      </w:pPr>
      <w:r>
        <w:rPr>
          <w:b w:val="0"/>
          <w:i w:val="0"/>
          <w:sz w:val="21"/>
        </w:rPr>
        <w:t>Fix 5 - Laurençon entry: the accent. In-text citations carry Laurençon (Section 4.2), the entry does not. From the previous list, still open.</w:t>
      </w:r>
    </w:p>
    <w:p>
      <w:pPr>
        <w:keepLines/>
        <w:spacing w:after="40"/>
      </w:pPr>
      <w:r>
        <w:rPr>
          <w:b/>
          <w:color w:val="1F2937"/>
          <w:sz w:val="19"/>
        </w:rPr>
        <w:t>FIND:</w:t>
      </w:r>
    </w:p>
    <w:p>
      <w:pPr>
        <w:keepLines/>
        <w:spacing w:after="120"/>
        <w:ind w:left="360"/>
      </w:pPr>
      <w:r>
        <w:rPr>
          <w:rFonts w:ascii="Courier New" w:hAnsi="Courier New"/>
          <w:color w:val="1F2937"/>
          <w:sz w:val="19"/>
        </w:rPr>
        <w:t>Laurencon, H., Saulnier, L., Tronchon, L., et al. (2024).</w:t>
      </w:r>
    </w:p>
    <w:p>
      <w:pPr>
        <w:keepLines/>
        <w:spacing w:after="40"/>
      </w:pPr>
      <w:r>
        <w:rPr>
          <w:b/>
          <w:color w:val="1F2937"/>
          <w:sz w:val="19"/>
        </w:rPr>
        <w:t>REPLACE WITH:</w:t>
      </w:r>
    </w:p>
    <w:p>
      <w:pPr>
        <w:keepLines/>
        <w:spacing w:after="120"/>
        <w:ind w:left="360"/>
      </w:pPr>
      <w:r>
        <w:rPr>
          <w:rFonts w:ascii="Courier New" w:hAnsi="Courier New"/>
          <w:color w:val="1F2937"/>
          <w:sz w:val="19"/>
        </w:rPr>
        <w:t>Laurençon, H., Saulnier, L., Tronchon, L., et al. (2024).</w:t>
      </w:r>
    </w:p>
    <w:p>
      <w:pPr>
        <w:spacing w:after="40"/>
      </w:pPr>
      <w:r>
        <w:rPr>
          <w:b w:val="0"/>
          <w:i w:val="0"/>
          <w:sz w:val="21"/>
        </w:rPr>
        <w:t>Fix 6 - Im et al.: venue format. Every other ICLR entry (Chuang, Huo, Xiao) uses the short form; this one inserts "Proceedings of the". Still open from the last list.</w:t>
      </w:r>
    </w:p>
    <w:p>
      <w:pPr>
        <w:keepLines/>
        <w:spacing w:after="40"/>
      </w:pPr>
      <w:r>
        <w:rPr>
          <w:b/>
          <w:color w:val="1F2937"/>
          <w:sz w:val="19"/>
        </w:rPr>
        <w:t>FIND:</w:t>
      </w:r>
    </w:p>
    <w:p>
      <w:pPr>
        <w:keepLines/>
        <w:spacing w:after="120"/>
        <w:ind w:left="360"/>
      </w:pPr>
      <w:r>
        <w:rPr>
          <w:rFonts w:ascii="Courier New" w:hAnsi="Courier New"/>
          <w:color w:val="1F2937"/>
          <w:sz w:val="19"/>
        </w:rPr>
        <w:t>In Proceedings of the International Conference on Learning Representations (ICLR).</w:t>
      </w:r>
    </w:p>
    <w:p>
      <w:pPr>
        <w:keepLines/>
        <w:spacing w:after="40"/>
      </w:pPr>
      <w:r>
        <w:rPr>
          <w:b/>
          <w:color w:val="1F2937"/>
          <w:sz w:val="19"/>
        </w:rPr>
        <w:t>REPLACE WITH:</w:t>
      </w:r>
    </w:p>
    <w:p>
      <w:pPr>
        <w:keepLines/>
        <w:spacing w:after="120"/>
        <w:ind w:left="360"/>
      </w:pPr>
      <w:r>
        <w:rPr>
          <w:rFonts w:ascii="Courier New" w:hAnsi="Courier New"/>
          <w:color w:val="1F2937"/>
          <w:sz w:val="19"/>
        </w:rPr>
        <w:t>In International Conference on Learning Representations (ICLR).</w:t>
      </w:r>
    </w:p>
    <w:p>
      <w:pPr>
        <w:pStyle w:val="Heading1"/>
        <w:spacing w:before="280" w:after="80"/>
      </w:pPr>
      <w:r>
        <w:rPr>
          <w:rFonts w:ascii="Calibri" w:hAnsi="Calibri"/>
          <w:color w:val="0F9D8F"/>
          <w:sz w:val="30"/>
        </w:rPr>
        <w:t>4. Minor polish (quick wins)</w:t>
      </w:r>
    </w:p>
    <w:p>
      <w:pPr>
        <w:spacing w:after="40"/>
      </w:pPr>
      <w:r>
        <w:rPr>
          <w:b w:val="0"/>
          <w:i w:val="0"/>
          <w:sz w:val="21"/>
        </w:rPr>
        <w:t>Fix 7 - Abstract: missing article. The intended replacement last round was "such as the LLaVA models"; the draft has it without "the".</w:t>
      </w:r>
    </w:p>
    <w:p>
      <w:pPr>
        <w:keepLines/>
        <w:spacing w:after="40"/>
      </w:pPr>
      <w:r>
        <w:rPr>
          <w:b/>
          <w:color w:val="1F2937"/>
          <w:sz w:val="19"/>
        </w:rPr>
        <w:t>FIND:</w:t>
      </w:r>
    </w:p>
    <w:p>
      <w:pPr>
        <w:keepLines/>
        <w:spacing w:after="120"/>
        <w:ind w:left="360"/>
      </w:pPr>
      <w:r>
        <w:rPr>
          <w:rFonts w:ascii="Courier New" w:hAnsi="Courier New"/>
          <w:color w:val="1F2937"/>
          <w:sz w:val="19"/>
        </w:rPr>
        <w:t>such as LLaVA models, where universal</w:t>
      </w:r>
    </w:p>
    <w:p>
      <w:pPr>
        <w:keepLines/>
        <w:spacing w:after="40"/>
      </w:pPr>
      <w:r>
        <w:rPr>
          <w:b/>
          <w:color w:val="1F2937"/>
          <w:sz w:val="19"/>
        </w:rPr>
        <w:t>REPLACE WITH:</w:t>
      </w:r>
    </w:p>
    <w:p>
      <w:pPr>
        <w:keepLines/>
        <w:spacing w:after="120"/>
        <w:ind w:left="360"/>
      </w:pPr>
      <w:r>
        <w:rPr>
          <w:rFonts w:ascii="Courier New" w:hAnsi="Courier New"/>
          <w:color w:val="1F2937"/>
          <w:sz w:val="19"/>
        </w:rPr>
        <w:t>such as the LLaVA models, where universal</w:t>
      </w:r>
    </w:p>
    <w:p>
      <w:pPr>
        <w:spacing w:after="120"/>
      </w:pPr>
      <w:r>
        <w:rPr>
          <w:b w:val="0"/>
          <w:i w:val="0"/>
          <w:sz w:val="21"/>
        </w:rPr>
        <w:t>Optional companion: "collapses balanced accuracy to 63.06%" attributes LLaVA-1.5’s number to both LLaVA models (Mistral’s collapse is to 75.64, i.e. -10.42). If you want the plural claim airtight, use "collapses balanced accuracy by up to 13.7 points" - it covers both (13.72 and 10.42) and matches Contribution 3’s "13.7-point collapse". Skip if you prefer the concrete number.</w:t>
      </w:r>
    </w:p>
    <w:p>
      <w:pPr>
        <w:spacing w:after="120"/>
      </w:pPr>
      <w:r>
        <w:rPr>
          <w:b w:val="0"/>
          <w:i w:val="0"/>
          <w:sz w:val="21"/>
        </w:rPr>
        <w:t>Fix 8 - Table A1 header cell: the first cell is a Greek capital Tau (Τ, U+03A4). Change it to lowercase τ (U+03C4) to match every prose use and the figure axis labels. Manual cell edit.</w:t>
      </w:r>
    </w:p>
    <w:p>
      <w:pPr>
        <w:spacing w:after="40"/>
      </w:pPr>
      <w:r>
        <w:rPr>
          <w:b w:val="0"/>
          <w:i w:val="0"/>
          <w:sz w:val="21"/>
        </w:rPr>
        <w:t>Fix 9 (carried from the last list, still open, recommended) - 5.4 gate paragraph: one parenthetical says what the percentages measure. Apply after nothing else - it depends on the current sentence only.</w:t>
      </w:r>
    </w:p>
    <w:p>
      <w:pPr>
        <w:keepLines/>
        <w:spacing w:after="40"/>
      </w:pPr>
      <w:r>
        <w:rPr>
          <w:b/>
          <w:color w:val="1F2937"/>
          <w:sz w:val="19"/>
        </w:rPr>
        <w:t>FIND:</w:t>
      </w:r>
    </w:p>
    <w:p>
      <w:pPr>
        <w:keepLines/>
        <w:spacing w:after="120"/>
        <w:ind w:left="360"/>
      </w:pPr>
      <w:r>
        <w:rPr>
          <w:rFonts w:ascii="Courier New" w:hAnsi="Courier New"/>
          <w:color w:val="1F2937"/>
          <w:sz w:val="19"/>
        </w:rPr>
        <w:t>or LLaVA-v1.6-Mistral-7B. Shuffled routing</w:t>
      </w:r>
    </w:p>
    <w:p>
      <w:pPr>
        <w:keepLines/>
        <w:spacing w:after="40"/>
      </w:pPr>
      <w:r>
        <w:rPr>
          <w:b/>
          <w:color w:val="1F2937"/>
          <w:sz w:val="19"/>
        </w:rPr>
        <w:t>REPLACE WITH:</w:t>
      </w:r>
    </w:p>
    <w:p>
      <w:pPr>
        <w:keepLines/>
        <w:spacing w:after="120"/>
        <w:ind w:left="360"/>
      </w:pPr>
      <w:r>
        <w:rPr>
          <w:rFonts w:ascii="Courier New" w:hAnsi="Courier New"/>
          <w:color w:val="1F2937"/>
          <w:sz w:val="19"/>
        </w:rPr>
        <w:t>or LLaVA-v1.6-Mistral-7B (the fraction of held-out queries whose first-token entropy exceeds each model’s τ*). Shuffled routing</w:t>
      </w:r>
    </w:p>
    <w:p>
      <w:pPr>
        <w:pStyle w:val="Heading1"/>
        <w:spacing w:before="280" w:after="80"/>
      </w:pPr>
      <w:r>
        <w:rPr>
          <w:rFonts w:ascii="Calibri" w:hAnsi="Calibri"/>
          <w:color w:val="0F9D8F"/>
          <w:sz w:val="30"/>
        </w:rPr>
        <w:t>5. Optional Word hygiene (safe to skip; matters only for the LaTeX conversion)</w:t>
      </w:r>
    </w:p>
    <w:p>
      <w:pPr>
        <w:spacing w:after="120"/>
      </w:pPr>
      <w:r>
        <w:rPr>
          <w:b w:val="0"/>
          <w:i w:val="0"/>
          <w:sz w:val="21"/>
        </w:rPr>
        <w:t>You said formatting will be handled in Overleaf, so treat this as a two-minute pre-conversion cleanup, nothing more. (a) 18 empty paragraphs still carry the Heading 1 style - one after the title, three after the Abstract, one before Section 2, thirteen between the last reference and Appendix A; they become blank \section lines if the file is converted mechanically. Turn on ¶, delete the empty lines whose style box reads Heading 1 - but do NOT delete empty Normal paragraphs, several carry the display equations. (b) The Figure 2 caption paragraph is styled Heading 2 while the other captions are Normal - set it to Normal so it does not become a section. (c) The Figure 6 image and its caption share one paragraph; if your Word-to-LaTeX route maps captions programmatically, put the image in its own paragraph first. Content-wise none of this matters.</w:t>
      </w:r>
    </w:p>
    <w:p>
      <w:pPr>
        <w:pStyle w:val="Heading1"/>
        <w:spacing w:before="280" w:after="80"/>
      </w:pPr>
      <w:r>
        <w:rPr>
          <w:rFonts w:ascii="Calibri" w:hAnsi="Calibri"/>
          <w:color w:val="0F9D8F"/>
          <w:sz w:val="30"/>
        </w:rPr>
        <w:t>6. Verified correct - nothing to do</w:t>
      </w:r>
    </w:p>
    <w:p>
      <w:pPr>
        <w:spacing w:after="40"/>
      </w:pPr>
      <w:r>
        <w:rPr>
          <w:b/>
          <w:i w:val="0"/>
          <w:sz w:val="21"/>
        </w:rPr>
        <w:t>Images (all nine checked visually against the current figure set):</w:t>
      </w:r>
    </w:p>
    <w:p>
      <w:pPr>
        <w:pStyle w:val="ListBullet"/>
        <w:spacing w:after="60"/>
      </w:pPr>
      <w:r>
        <w:rPr>
          <w:sz w:val="21"/>
        </w:rPr>
        <w:t>Figure 2 is the regenerated line chart - Mistral VCD at 83.6, and the x-order matches the caption ("ordered by EGCD’s gain": 9.39, 7.31, 4.27, 1.92, 0.04, 0.00, 0.00).</w:t>
      </w:r>
    </w:p>
    <w:p>
      <w:pPr>
        <w:pStyle w:val="ListBullet"/>
        <w:spacing w:after="60"/>
      </w:pPr>
      <w:r>
        <w:rPr>
          <w:sz w:val="21"/>
        </w:rPr>
        <w:t>Figure 3 is the regenerated delta heatmap - Mistral VCD -2.49 and SID ±0.00, exactly as the JSON gives.</w:t>
      </w:r>
    </w:p>
    <w:p>
      <w:pPr>
        <w:pStyle w:val="ListBullet"/>
        <w:spacing w:after="60"/>
      </w:pPr>
      <w:r>
        <w:rPr>
          <w:sz w:val="21"/>
        </w:rPr>
        <w:t>Figure A1 is regenerated - Mistral VCD 76.7 / 90.4 / 83.6 and SID 78.4 / 93.8 / 86.1 (note 93.8: the figure is right, which is what exposes Fix 1).</w:t>
      </w:r>
    </w:p>
    <w:p>
      <w:pPr>
        <w:pStyle w:val="ListBullet"/>
        <w:spacing w:after="60"/>
      </w:pPr>
      <w:r>
        <w:rPr>
          <w:sz w:val="21"/>
        </w:rPr>
        <w:t>Figure 4 is the 2×2 four-model slopegraph with all five regimes per panel - the 5.2 sentence ("all five decoding regimes") is accurate.</w:t>
      </w:r>
    </w:p>
    <w:p>
      <w:pPr>
        <w:pStyle w:val="ListBullet"/>
        <w:spacing w:after="60"/>
      </w:pPr>
      <w:r>
        <w:rPr>
          <w:sz w:val="21"/>
        </w:rPr>
        <w:t>Figure 5: four tuning-half sweeps, stars at τ* = 0.70 / 0.62 / 0.68 / 0.65, matching the text list.</w:t>
      </w:r>
    </w:p>
    <w:p>
      <w:pPr>
        <w:pStyle w:val="ListBullet"/>
        <w:spacing w:after="60"/>
      </w:pPr>
      <w:r>
        <w:rPr>
          <w:sz w:val="21"/>
        </w:rPr>
        <w:t>Figure 6: three sound models including Mistral (τ* = 0.71, plateau at the baseline from 0.71 on).</w:t>
      </w:r>
    </w:p>
    <w:p>
      <w:pPr>
        <w:pStyle w:val="ListBullet"/>
        <w:spacing w:after="60"/>
      </w:pPr>
      <w:r>
        <w:rPr>
          <w:sz w:val="21"/>
        </w:rPr>
        <w:t>Figure 7: all seven curves, every curve returns to zero, worst sound-model cost about -14 (caption’s "up to 14 points" holds).</w:t>
      </w:r>
    </w:p>
    <w:p>
      <w:pPr>
        <w:pStyle w:val="ListBullet"/>
        <w:spacing w:after="60"/>
      </w:pPr>
      <w:r>
        <w:rPr>
          <w:sz w:val="21"/>
        </w:rPr>
        <w:t>Figure A2: six-model lollipop; every gain label re-computed from Table A1 and matches (+8.61, +6.43, +3.35, +1.88, +0.24, ±0.00).</w:t>
      </w:r>
    </w:p>
    <w:p>
      <w:pPr>
        <w:pStyle w:val="ListBullet"/>
        <w:spacing w:after="60"/>
      </w:pPr>
      <w:r>
        <w:rPr>
          <w:sz w:val="21"/>
        </w:rPr>
        <w:t>figA2a absent everywhere, as you decided. All nine images sit directly under the paragraph that introduces them; nothing to move.</w:t>
      </w:r>
    </w:p>
    <w:p>
      <w:pPr>
        <w:spacing w:after="40"/>
      </w:pPr>
      <w:r>
        <w:rPr>
          <w:b/>
          <w:i w:val="0"/>
          <w:sz w:val="21"/>
        </w:rPr>
        <w:t>Numbers traced (all agree with the data files):</w:t>
      </w:r>
    </w:p>
    <w:p>
      <w:pPr>
        <w:pStyle w:val="ListBullet"/>
        <w:spacing w:after="60"/>
      </w:pPr>
      <w:r>
        <w:rPr>
          <w:sz w:val="21"/>
        </w:rPr>
        <w:t>9.39, 3.11, 7.31 (keep 7.31 - the unrounded delta is 7.31; 7.32 appears only after rounding), 4.27, 1.92, 0.04 gains.</w:t>
      </w:r>
    </w:p>
    <w:p>
      <w:pPr>
        <w:pStyle w:val="ListBullet"/>
        <w:spacing w:after="60"/>
      </w:pPr>
      <w:r>
        <w:rPr>
          <w:sz w:val="21"/>
        </w:rPr>
        <w:t>McNemar claims: p = 0.002 on Qwen2-VL-2B EGCD-vs-CD (data: 0.00195); p &gt; 0.99 for Phi-3, SmolVLM2, Idefics2 (data: 1.0); VCD 70.72 on SmolVLM2 with p = 0.032 over CD+APC (data: 0.0316).</w:t>
      </w:r>
    </w:p>
    <w:p>
      <w:pPr>
        <w:pStyle w:val="ListBullet"/>
        <w:spacing w:after="60"/>
      </w:pPr>
      <w:r>
        <w:rPr>
          <w:sz w:val="21"/>
        </w:rPr>
        <w:t>"Within 0.7 points" for SID: worst case SmolVLM2 +0.68; all seven models inside once Fix 1 lands.</w:t>
      </w:r>
    </w:p>
    <w:p>
      <w:pPr>
        <w:pStyle w:val="ListBullet"/>
        <w:spacing w:after="60"/>
      </w:pPr>
      <w:r>
        <w:rPr>
          <w:sz w:val="21"/>
        </w:rPr>
        <w:t>Gate rates 40.9 / 38.8 / 28.2 / 13.2 / 2.2 / none - all five match act_pct in the results file; Mistral "none" is the documented fallback (EGCD output is exactly greedy at τ* = 0.71) and matches your JSON’s SID = greedy.</w:t>
      </w:r>
    </w:p>
    <w:p>
      <w:pPr>
        <w:pStyle w:val="ListBullet"/>
        <w:spacing w:after="60"/>
      </w:pPr>
      <w:r>
        <w:rPr>
          <w:sz w:val="21"/>
        </w:rPr>
        <w:t>Shuffled-routing triple (64.96 / 74.04 / 72.97), τ* lists in 5.2 and Appendix A, Table 1 EGCD τ values, Table A1 peaks (each column’s maximum sits exactly at its τ*), split 831 + 833 = 1,664 - all consistent.</w:t>
      </w:r>
    </w:p>
    <w:p>
      <w:pPr>
        <w:pStyle w:val="ListBullet"/>
        <w:spacing w:after="60"/>
      </w:pPr>
      <w:r>
        <w:rPr>
          <w:sz w:val="21"/>
        </w:rPr>
        <w:t>63.06 / 76.78 / 86.06 / 10.42 / 13.7 / 29.30 / 75.64 - every occurrence checked in place.</w:t>
      </w:r>
    </w:p>
    <w:p>
      <w:pPr>
        <w:spacing w:after="40"/>
      </w:pPr>
      <w:r>
        <w:rPr>
          <w:b/>
          <w:i w:val="0"/>
          <w:sz w:val="21"/>
        </w:rPr>
        <w:t>Structure and duplication:</w:t>
      </w:r>
    </w:p>
    <w:p>
      <w:pPr>
        <w:pStyle w:val="ListBullet"/>
        <w:spacing w:after="60"/>
      </w:pPr>
      <w:r>
        <w:rPr>
          <w:sz w:val="21"/>
        </w:rPr>
        <w:t>All six duplication repairs are in: the intro’s Visual Inertia clause with the Section 2.1 pointer, the intro’s CD failure-mode pointer, the balanced-accuracy restatement removed from 5.1, the merged gate-is-free sentence in 2.3, the replaced refrain at the end of 6.1, and the trimmed Idefics2 band in 5.3 (5.4 keeps it).</w:t>
      </w:r>
    </w:p>
    <w:p>
      <w:pPr>
        <w:pStyle w:val="ListBullet"/>
        <w:spacing w:after="60"/>
      </w:pPr>
      <w:r>
        <w:rPr>
          <w:sz w:val="21"/>
        </w:rPr>
        <w:t>"Gate stands down" is gone everywhere; Y_CD and z_cf carry proper subscripts; the 2.2 closing sentence reads cleanly; "contrastive overcompensation" is lowercased; the Shin entry says "models"; Favero lists Zancato.</w:t>
      </w:r>
    </w:p>
    <w:p>
      <w:pPr>
        <w:pStyle w:val="ListBullet"/>
        <w:spacing w:after="60"/>
      </w:pPr>
      <w:r>
        <w:rPr>
          <w:sz w:val="21"/>
        </w:rPr>
        <w:t>Your exclusions were respected - the Table 1 caption basis sentence, the 4.4 exception sentence, the Figure 6 caption clause and the 5.4 "(Mistral’s on the full set)" clause are all absent. After Fix 2 removes the appendix leftover, no "old run" wording remains and the paper is internally consistent with presenting LLaVA-1.6 like the other models.</w:t>
      </w:r>
    </w:p>
    <w:p>
      <w:pPr>
        <w:pStyle w:val="Heading1"/>
        <w:spacing w:before="280" w:after="80"/>
      </w:pPr>
      <w:r>
        <w:rPr>
          <w:rFonts w:ascii="Calibri" w:hAnsi="Calibri"/>
          <w:color w:val="0F9D8F"/>
          <w:sz w:val="30"/>
        </w:rPr>
        <w:t>7. Do NOT change these (verified correct)</w:t>
      </w:r>
    </w:p>
    <w:p>
      <w:pPr>
        <w:pStyle w:val="ListBullet"/>
        <w:spacing w:after="60"/>
      </w:pPr>
      <w:r>
        <w:rPr>
          <w:sz w:val="21"/>
        </w:rPr>
        <w:t>"Phi-3-Vision-4.2B gains 7.31" - keep 7.31; the unrounded deltas agree.</w:t>
      </w:r>
    </w:p>
    <w:p>
      <w:pPr>
        <w:pStyle w:val="ListBullet"/>
        <w:spacing w:after="60"/>
      </w:pPr>
      <w:r>
        <w:rPr>
          <w:sz w:val="21"/>
        </w:rPr>
        <w:t>"stays within 0.7 points of the greedy baseline" - keep 0.7; every model is inside it.</w:t>
      </w:r>
    </w:p>
    <w:p>
      <w:pPr>
        <w:pStyle w:val="ListBullet"/>
        <w:spacing w:after="60"/>
      </w:pPr>
      <w:r>
        <w:rPr>
          <w:sz w:val="21"/>
        </w:rPr>
        <w:t>The 76.17 inside Table A1 (Phi-3 row, τ = 0.55) - genuine sweep data, unrelated to the old text typo.</w:t>
      </w:r>
    </w:p>
    <w:p>
      <w:pPr>
        <w:pStyle w:val="ListBullet"/>
        <w:spacing w:after="60"/>
      </w:pPr>
      <w:r>
        <w:rPr>
          <w:sz w:val="21"/>
        </w:rPr>
        <w:t>The abstract’s closing refrain ("applied where it heals, withheld where it harms") - deliberately kept.</w:t>
      </w:r>
    </w:p>
    <w:p>
      <w:pPr>
        <w:pStyle w:val="ListBullet"/>
        <w:spacing w:after="60"/>
      </w:pPr>
      <w:r>
        <w:rPr>
          <w:sz w:val="21"/>
        </w:rPr>
        <w:t>Every non-Mistral row of Table 1 - verified against the results files, correct as printed.</w:t>
      </w:r>
    </w:p>
    <w:p>
      <w:pPr>
        <w:pStyle w:val="Heading1"/>
        <w:spacing w:before="280" w:after="80"/>
      </w:pPr>
      <w:r>
        <w:rPr>
          <w:rFonts w:ascii="Calibri" w:hAnsi="Calibri"/>
          <w:color w:val="0F9D8F"/>
          <w:sz w:val="30"/>
        </w:rPr>
        <w:t>8. Bottom line</w:t>
      </w:r>
    </w:p>
    <w:p>
      <w:pPr>
        <w:spacing w:after="120"/>
      </w:pPr>
      <w:r>
        <w:rPr>
          <w:b w:val="0"/>
          <w:i w:val="0"/>
          <w:sz w:val="21"/>
        </w:rPr>
        <w:t>Apply Fixes 1-4 (five minutes: one table cell, two find-and-replace runs, one equation edit), then the two reference entries, then the two optional polish items if you want them. After that, every number in the draft traces to run data, every figure is the current version in the right place with a one-line caption, and the seven-model story is told consistently from Abstract to Appendix A. What remains beyond that is presentation only - your Overleaf conversion, equation numbering and BibTeX - not content.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