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B7C71"/>
          <w:sz w:val="34"/>
        </w:rPr>
        <w:t>EGCD Paper - Complete Fix List for the 10th Draft</w:t>
      </w:r>
    </w:p>
    <w:p>
      <w:pPr>
        <w:spacing w:after="160"/>
      </w:pPr>
      <w:r>
        <w:rPr>
          <w:b w:val="0"/>
          <w:i/>
          <w:color w:val="5A646E"/>
          <w:sz w:val="19"/>
        </w:rPr>
        <w:t>Source audited: 10th_draft.docx @ res-con/main  |  all 29 mandatory + 7 optional fixes verified against the live file</w:t>
      </w:r>
    </w:p>
    <w:p>
      <w:pPr>
        <w:spacing w:after="200"/>
      </w:pPr>
      <w:r>
        <w:rPr>
          <w:b w:val="0"/>
          <w:i w:val="0"/>
          <w:sz w:val="21"/>
        </w:rPr>
        <w:t>How to use: every fix below quotes the exact words to find. In Word press Ctrl+H, paste the FIND text, paste or type the REPLACE text, then Replace All - each FIND string occurs exactly once in the draft, so one click is safe (the two Table 1 cell edits in Section 2 are the only manual edits). Work top to bottom: the Optional items may depend on earlier ones, and each fix says so where it matters.</w:t>
      </w:r>
    </w:p>
    <w:p>
      <w:pPr>
        <w:pStyle w:val="Heading1"/>
      </w:pPr>
      <w:r>
        <w:t>1.  Already applied and verified (nothing to do)</w:t>
      </w:r>
    </w:p>
    <w:p>
      <w:pPr>
        <w:pStyle w:val="ListBullet"/>
      </w:pPr>
      <w:r>
        <w:rPr>
          <w:sz w:val="21"/>
        </w:rPr>
        <w:t>Table 1 is the five-regime table (35 data rows, Mistral included) — correct.</w:t>
      </w:r>
    </w:p>
    <w:p>
      <w:pPr>
        <w:pStyle w:val="ListBullet"/>
      </w:pPr>
      <w:r>
        <w:rPr>
          <w:sz w:val="21"/>
        </w:rPr>
        <w:t>Table A1 is the new tuning-half grid (21 thresholds × 6 models) — correct.</w:t>
      </w:r>
    </w:p>
    <w:p>
      <w:pPr>
        <w:pStyle w:val="ListBullet"/>
      </w:pPr>
      <w:r>
        <w:rPr>
          <w:sz w:val="21"/>
        </w:rPr>
        <w:t>All nine figures carry one-line captions; A2b is renamed “Figure A2”; no A2a anywhere — matches your decision to drop it. Nothing left to do about A2a.</w:t>
      </w:r>
    </w:p>
    <w:p>
      <w:pPr>
        <w:pStyle w:val="ListBullet"/>
      </w:pPr>
      <w:r>
        <w:rPr>
          <w:sz w:val="21"/>
        </w:rPr>
        <w:t>Every image sits exactly where its text introduces it (Fig. 1 in Section 3; Fig. 2 in 5.1; Fig. 3–5 in 5.2; Fig. 6 in 5.3; Fig. 7 in 5.4; A1 and A2 after Table A1). Nothing to move.</w:t>
      </w:r>
    </w:p>
    <w:p>
      <w:pPr>
        <w:pStyle w:val="ListBullet"/>
      </w:pPr>
      <w:r>
        <w:rPr>
          <w:sz w:val="21"/>
        </w:rPr>
        <w:t>All cross-references (Figures 1–7, A1, A2, Table 1, Table A1) point at the right objects.</w:t>
      </w:r>
    </w:p>
    <w:p>
      <w:pPr>
        <w:pStyle w:val="ListBullet"/>
      </w:pPr>
      <w:r>
        <w:rPr>
          <w:sz w:val="21"/>
        </w:rPr>
        <w:t>6.2 is titled “Limitations and Future Work” and the Section 1 roadmap matches it.</w:t>
      </w:r>
    </w:p>
    <w:p>
      <w:pPr>
        <w:pStyle w:val="ListBullet"/>
      </w:pPr>
      <w:r>
        <w:rPr>
          <w:sz w:val="21"/>
        </w:rPr>
        <w:t>Favero lists Zancato; in-text “Laurençon” is accented; the “computation.” sentence is repaired; the τ* list in 5.2 is correct; 76.78 is preserved everywhere it belongs.</w:t>
      </w:r>
    </w:p>
    <w:p>
      <w:pPr>
        <w:pStyle w:val="Heading1"/>
      </w:pPr>
      <w:r>
        <w:t>2.  Data corrections - the Mistral fill and Table 1 (highest priority)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2 - Gate-routing paragraph: add LLaVA-v1.6-Mistral-7B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5.4, the paragraph beginning “The gate routes 40.9%…”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Your JSON (llava-v1.6-mistral-7b-vcd.json: 1,664 per-item VCD/SID records) contains no entropy field, so it cannot produce a gate rate directly. What it does establish, together with the sweep, is Mistral’s sound-model signature: SID equals the greedy baseline on all 1,664 items (78.36 / 93.76 / 86.06), and EGCD reproduces the baseline exactly at every τ ≥ 0.71. Mistral therefore joins LLaVA-1.5-7B at “none”, exactly as your Section 5.3 already claims (“EGCD preserves … 86.06% … identical to greedy decoding”).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2.2% on Idefics2-8B and none on LLaVA-1.5-7B.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2.2% on Idefics2-8B, and none on LLaVA-1.5-7B or LLaVA-v1.6-Mistral-7B.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If your Mistral EGCD log recorded a nonzero activity rate at τ*, use that number instead of “none”; the rest of the sentence stays as written.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3.1 - Table 1: replace the Mistral VCD row (from the JSON)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Table 1, LLaVA-v1.6-Mistral-7B block, VCD row (manual cell edit)</w:t>
      </w:r>
    </w:p>
    <w:p>
      <w:pPr>
        <w:spacing w:after="80"/>
        <w:ind w:left="173"/>
      </w:pPr>
      <w:r>
        <w:rPr>
          <w:b w:val="0"/>
          <w:i w:val="0"/>
          <w:sz w:val="21"/>
        </w:rPr>
        <w:t>The current cells (79.51 / 91.30 / 85.41) come from the old held-out CSV line and mix bases with the full-set Greedy / CD+APC / EGCD rows directly above them. Your JSON — the actual Mistral run — gives VCD = 76.72 / 90.42 / 83.57 on the full 1,664 pairs. Edit the three number cells by hand (do not use Find &amp; Replace: “79.51” appears in both Mistral rows).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CURRENT (in the draft):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VCD row: 79.51 | 91.30 | 85.41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CHANGE TO: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VCD row: 76.72 | 90.42 | 83.57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3.2 - Table 1: replace the Mistral SID row (from the JSON)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Table 1, LLaVA-v1.6-Mistral-7B block, SID row (manual cell edit)</w:t>
      </w:r>
    </w:p>
    <w:p>
      <w:pPr>
        <w:spacing w:after="80"/>
        <w:ind w:left="173"/>
      </w:pPr>
      <w:r>
        <w:rPr>
          <w:b w:val="0"/>
          <w:i w:val="0"/>
          <w:sz w:val="21"/>
        </w:rPr>
        <w:t>The JSON gives SID = 78.36 / 93.76 / 86.06 — exactly the greedy baseline, row-for-row, precisely like LLaVA-1.5-7B’s SID row. This also removes the old +0.80 anomaly that contradicted the “within 0.7 points” claim in Section 5.1.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CURRENT (in the draft):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SID row: 79.51 | 94.20 | 86.86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CHANGE TO: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SID row: 78.36 | 93.76 | 86.06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3.3 - Figures 2, 3 and A1 plot the old Mistral values — swap in the regenerated PNGs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Figure 2 (Section 5.1), Figure 3 (Section 5.2), Figure A1 (Appendix A)</w:t>
      </w:r>
    </w:p>
    <w:p>
      <w:pPr>
        <w:spacing w:after="80"/>
        <w:ind w:left="173"/>
      </w:pPr>
      <w:r>
        <w:rPr>
          <w:b w:val="0"/>
          <w:i w:val="0"/>
          <w:sz w:val="21"/>
        </w:rPr>
        <w:t>All three figures render Mistral’s VCD/SID from the stale numbers. I regenerated them from your JSON — fig3 now shows Mistral VCD −2.49 and SID ±0.00; fig2 and figA1 show 83.6 / 86.1 in the Mistral row. The updated PNG and PDF files are in the repository’s v4/ folder and in figures_9th/: fig2_line_models.png, fig3_delta_heatmap.png, figA1_metrics_heatmap.png. In Word: right-click the picture → Change Picture → From File. The aspect ratios are unchanged, so the layout holds.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3.4 - Table 1 caption: declare the Mistral basis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Table 1 caption (the paragraph beginning “Table 1: Held-out results…”)</w:t>
      </w:r>
    </w:p>
    <w:p>
      <w:pPr>
        <w:spacing w:after="80"/>
        <w:ind w:left="173"/>
      </w:pPr>
      <w:r>
        <w:rPr>
          <w:b w:val="0"/>
          <w:i w:val="0"/>
          <w:sz w:val="21"/>
        </w:rPr>
        <w:t>After the two row fixes, the caption must say which pairs each basis covers, otherwise the Mistral block quietly contradicts the “held-out” headline.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VCD and SID are applied at every decoding step with the same α and β as CD+APC.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VCD and SID are applied at every decoding step with the same α and β as CD+APC. The LLaVA-v1.6-Mistral-7B rows are computed on the full 1,664 pairs (Section 4.4); every other model is evaluated on the held-out half.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3.5 - Section 4.4: declare the one exception to the held-out protocol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4.4, last sentence of the paragraph beginning “All runs are zero-shot…”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The protocol sentence currently claims every number comes from the held-out half; Mistral’s runs predate the split. Say so once, here, and every Mistral number in the paper has a home.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report every number in this paper on the held-out half; the split is fixed and identical for all models.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report every number in this paper on the held-out half; the split is fixed and identical for all models. LLaVA-v1.6-Mistral-7B is the one exception: its runs predate the split and cover all 1,664 pairs, so its threshold was selected on the full set.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3.6 - Appendix A: remove the dangling “(daggered)” and the promised re-run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Appendix A intro paragraph</w:t>
      </w:r>
    </w:p>
    <w:p>
      <w:pPr>
        <w:spacing w:after="80"/>
        <w:ind w:left="173"/>
      </w:pPr>
      <w:r>
        <w:rPr>
          <w:b w:val="0"/>
          <w:i w:val="0"/>
          <w:sz w:val="21"/>
        </w:rPr>
        <w:t>No dagger exists anywhere in Table 1 or Figure 6, and “until its re-run” promises future work a reviewer will ask about. One sentence fixes both.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which Table 1 and Figure 6 carry (daggered) until its re-run.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which Table 1 and Figure 6 report on all 1,664 pairs.</w:t>
      </w:r>
    </w:p>
    <w:p>
      <w:pPr>
        <w:pStyle w:val="Heading1"/>
      </w:pPr>
      <w:r>
        <w:t>3.  Figure A1 carries the deleted A2a heatmap's caption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4 - Figure A1’s caption belongs to the deleted A2a heatmap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Figure A1 caption (Appendix A, under the three-panel heatmap)</w:t>
      </w:r>
    </w:p>
    <w:p>
      <w:pPr>
        <w:spacing w:after="80"/>
        <w:ind w:left="173"/>
      </w:pPr>
      <w:r>
        <w:rPr>
          <w:b w:val="0"/>
          <w:i w:val="0"/>
          <w:sz w:val="21"/>
        </w:rPr>
        <w:t>The caption describes the retired A2a sweep heatmap (“sweep grid of Table A1”, “dashed end columns”), but the inserted image is the three-panel metrics heatmap of Table 1. It also contradicts the Appendix A sentence “Figure A1 renders the held-out results of Table 1 as three heatmaps” — which is the correct description. Replace the whole caption with: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Figure A1: The tuning-half sweep grid of Table A1 rendered as a heatmap, with darker cells marking higher balanced accuracy; the dashed end columns are the gate-always-active (CD+APC) and gate-inactive (greedy) limits.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Figure A1: The held-out results of Table 1 rendered as three heatmaps (Recall, Specificity, Balanced Accuracy; seven models by five decoding regimes), with the EGCD column outlined.</w:t>
      </w:r>
    </w:p>
    <w:p>
      <w:pPr>
        <w:pStyle w:val="Heading1"/>
      </w:pPr>
      <w:r>
        <w:t>4.  The six duplication fixes, as exact find-and-replace operations</w:t>
      </w:r>
    </w:p>
    <w:p>
      <w:pPr>
        <w:spacing w:after="120"/>
      </w:pPr>
      <w:r>
        <w:rPr>
          <w:b w:val="0"/>
          <w:i w:val="0"/>
          <w:sz w:val="21"/>
        </w:rPr>
        <w:t>These are the six repetitions from the earlier duplication report, restated so each one is a single safe operation. The keep/trim logic is unchanged: the literature account stays in 2.1, the formal statement in 3.1, contributions and methods keep their claims.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5.1a - Duplication 1 of 6 — Visual Inertia defined four times (step 1: fold into the intro)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1, end of the second paragraph</w:t>
      </w:r>
    </w:p>
    <w:p>
      <w:pPr>
        <w:spacing w:after="80"/>
        <w:ind w:left="173"/>
      </w:pPr>
      <w:r>
        <w:rPr>
          <w:b w:val="0"/>
          <w:i w:val="0"/>
          <w:sz w:val="21"/>
        </w:rPr>
        <w:t>Keep the literature account in 2.1 and the formal target in 3.1 (plus 6.1’s one-line recap, which conclusions may have). The intro’s version compresses into a clause: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Mistakes of this kind are made while the answer is being generated, not at the point of perception, so a fix has to operate inside decoding.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Mistakes of this kind are made while the answer is being generated, not at the point of perception: cross-attention settles on the earliest salient objects and stops moving, the mechanism Gong et al. (2026) name Visual Inertia (Section 2.1), so a fix has to operate inside decoding.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5.1b - Duplication 1 of 6 — Visual Inertia (step 2: delete the leftover paragraph)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1, the paragraph beginning “We adopt the name Gong et al. (2026)…”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Everything it says now exists in 2.1 and 3.1; the “No to anything uncertain” detail is already in 3.1 with the same Yin et al. citation.</w:t>
      </w:r>
    </w:p>
    <w:p>
      <w:pPr>
        <w:spacing w:after="0"/>
        <w:ind w:left="259"/>
      </w:pPr>
      <w:r>
        <w:rPr>
          <w:b/>
          <w:i w:val="0"/>
          <w:color w:val="AD0C47"/>
          <w:sz w:val="20"/>
        </w:rPr>
        <w:t>DELETE the entire paragraph starting with: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PARAGRAPH ANCHOR: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We adopt the name Gong et al. (2026) use for this mechanism: Visual Inertia.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Delete the entire paragraph, not just the first sentence.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5.2 - Duplication 2 of 6 — CD’s failure mode told twice with the same two citations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1, third paragraph</w:t>
      </w:r>
    </w:p>
    <w:p>
      <w:pPr>
        <w:spacing w:after="80"/>
        <w:ind w:left="173"/>
      </w:pPr>
      <w:r>
        <w:rPr>
          <w:b w:val="0"/>
          <w:i w:val="0"/>
          <w:sz w:val="21"/>
        </w:rPr>
        <w:t>Keep the full account (Yin et al. + Bendre et al.) in 2.2. The intro keeps one clause and a pointer; the Bendre mention lives only in 2.2.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Applied uniformly, it has a documented failure mode: much of its benchmark gain comes from a blunt yes-ward shift of the output distribution and, under sampling, from a truncation that collapses decoding into greedy search (Yin et al., 2025); a recent reproducibility study reaches the same conclusion across models and decoding regimes (Bendre et al., 2026).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Applied uniformly, it has a documented failure mode (Section 2.2): much of its benchmark gain can come from a yes-ward shift of the output distribution rather than better grounding.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5.3 - Duplication 3 of 6 — balanced accuracy defined twice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5.1, first paragraph</w:t>
      </w:r>
    </w:p>
    <w:p>
      <w:pPr>
        <w:spacing w:after="80"/>
        <w:ind w:left="173"/>
      </w:pPr>
      <w:r>
        <w:rPr>
          <w:b w:val="0"/>
          <w:i w:val="0"/>
          <w:sz w:val="21"/>
        </w:rPr>
        <w:t>Keep the formal definition (with the Brodersen citation) in 4.3. After the cut, 5.1 goes straight from the Table 1 pointer to the three patterns.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Table 1 summarizes the five decoding regimes. Recall and Specificity each cover one split of the benchmark, so Balanced Accuracy is the arithmetic mean of the true-positive and true-negative rates. Three patterns stand out.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Table 1 summarizes the five decoding regimes. Three patterns stand out.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5.4 - Duplication 4 of 6 — gate-is-free claimed three times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2.3, last three sentences (Octopus paragraph)</w:t>
      </w:r>
    </w:p>
    <w:p>
      <w:pPr>
        <w:spacing w:after="80"/>
        <w:ind w:left="173"/>
      </w:pPr>
      <w:r>
        <w:rPr>
          <w:b w:val="0"/>
          <w:i w:val="0"/>
          <w:sz w:val="21"/>
        </w:rPr>
        <w:t>Keep Contribution 2 and Section 3.2 (methods and contributions may state costs). 2.3 merges its two closing sentences into one: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EGCD uses none of this. It routes once per query, on the Shannon entropy of a single first-token distribution the standard forward pass already produces. The gate itself is free, and the intervention budget goes only where conflict is detected.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EGCD uses none of this: it routes once per query, on a first-token statistic the standard pass already produces.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5.5 - Duplication 5 of 6 — the thesis refrain, fourth instance in 6.1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6.1, last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Abstract, Section 1 and 5.4 each do different work and keep their versions. 6.1’s ending currently echoes the abstract word-for-word: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What comes out is a conditional, architecture-aware use of contrastive decoding, applied where it helps and withheld where it would do damage.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What comes out is a conditional, architecture-aware use of contrastive decoding that spends its correction only on the queries that need it.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5.6 - Duplication 6 of 6 — Idefics2’s 0.7-point band in 5.3 and 5.4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5.3, the paragraph beginning “The gate handles this distinction…”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Keep 5.4’s dynamics reading (“never leaves a 0.7-point band anywhere in the sweep”). 5.3 shortens to the test result: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Idefics2-8B stays within a 0.7-point band across the entire range and does not differ from either regime (p &gt; 0.99), and LLaVA-1.5-7B returns its baseline exactly.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Idefics2-8B does not differ from either regime (p &gt; 0.99), and LLaVA-1.5-7B returns its baseline exactly.</w:t>
      </w:r>
    </w:p>
    <w:p>
      <w:pPr>
        <w:pStyle w:val="Heading1"/>
      </w:pPr>
      <w:r>
        <w:t>5.  Sentence-level accuracy fixes (text must match the figures)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6.1 - Figure 3 caption: the 10–14 point collapse is the two LLaVA models, not Idefics2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Figure 3 caption (Section 5.2)</w:t>
      </w:r>
    </w:p>
    <w:p>
      <w:pPr>
        <w:spacing w:after="80"/>
        <w:ind w:left="173"/>
      </w:pPr>
      <w:r>
        <w:rPr>
          <w:b w:val="0"/>
          <w:i w:val="0"/>
          <w:sz w:val="21"/>
        </w:rPr>
        <w:t>Idefics2’s CD+APC delta is −0.06 — no collapse. Only LLaVA-1.5 (−13.72) and Mistral (−10.42) collapse.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Universal CD+APC buys its gains with a 10–14 point collapse on the sound models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Universal CD+APC buys its gains with a 10–14 point collapse on the two LLaVA models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6.2 - Figure 6 caption: carry the Mistral basis in one clause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Figure 6 caption (Section 5.3)</w:t>
      </w:r>
    </w:p>
    <w:p>
      <w:pPr>
        <w:spacing w:after="80"/>
        <w:ind w:left="173"/>
      </w:pPr>
      <w:r>
        <w:rPr>
          <w:b w:val="0"/>
          <w:i w:val="0"/>
          <w:sz w:val="21"/>
        </w:rPr>
        <w:t>The panel mixes tuning-half curves (Idefics2, LLaVA-1.5) with Mistral’s full-set curve; one clause, pointing at the Section 4.4 declaration, keeps it honest without turning the caption back into a paragraph.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Figure 6: The same sweep for the three structurally sound models, where EGCD tracks the greedy baseline everywhere while Universal CD+APC falls up to 14 points below it.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Figure 6: The same sweep for the three structurally sound models, where EGCD tracks the greedy baseline everywhere while Universal CD+APC falls up to 14 points below it; the LLaVA-v1.6-Mistral-7B panel is the full-set run (Section 4.4).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6.3 - Section 5.4: “full sweep” reads as “full-set sweep”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5.4, the paragraph beginning “The flat side of the pattern…”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“Full sweep” is ambiguous next to Mistral’s full-set run, and this is the natural place to say where each curve’s basis comes from.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Figure 7 maps the full sweep for all seven models, and the complete tuning-half numbers are given in Appendix A.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Figure 7 maps the sweep for all seven models (Mistral’s on the full set, Section 4.4), and the complete tuning-half numbers are given in Appendix A.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6.4 - Section 5.1: drop the obsolete SID hedge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5.1, the “VCD and SID rows”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“On every model with paired held-out data” was written when Mistral had no run. It has one now, and its SID sits exactly on the baseline — inside the claim. Keep the 0.7; drop the hedge.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stays within 0.7 points of the greedy baseline on every model with paired held-out data and flips no answer at all on Qwen2-VL-2B, Idefics2-8B, or LLaVA-1.5-7B.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stays within 0.7 points of the greedy baseline on every model and flips no answer at all on Qwen2-VL-2B, Idefics2-8B, or LLaVA-1.5-7B.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6.5 - Section 5.1: “Phi-3” twice in one breath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5.1, second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Split the run-on and add the serial comma; no content change.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Phi-3-Vision-4.2B gains 7.31; on Phi-3-Vision-4.2B, SmolVLM2-2.2B and Idefics2-8B the gap to CD sits inside sampling noise (p &gt; 0.99).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Phi-3-Vision-4.2B gains 7.31. On Phi-3-Vision-4.2B, SmolVLM2-2.2B, and Idefics2-8B the gap to CD sits inside sampling noise (p &gt; 0.99).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6.6 - Section 5.4: three-decimal threshold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5.4, second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Every other threshold in the paper uses two decimals (0.70, 0.62 …); the sweep grid has no 0.710 column.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Beyond 0.710 the curve slides back down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Beyond 0.71 the curve slides back down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6.7 - Appendix A: two-decimal thresholds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Appendix A intro, “The selected thresholds are…”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Matches Table 1’s “τ = 0.70” style and Section 5.2’s list; Table A1’s rows are two-decimal as well.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The selected thresholds are 0.700 (Qwen2-VL-2B), 0.620 (Phi-3-Vision-4.2B), 0.680 (SmolVLM2-2.2B), 0.650 (Qwen2.5-VL-7B), 0.690 (Idefics2-8B), and 0.700 (LLaVA-1.5-7B)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The selected thresholds are 0.70 (Qwen2-VL-2B), 0.62 (Phi-3-Vision-4.2B), 0.68 (SmolVLM2-2.2B), 0.65 (Qwen2.5-VL-7B), 0.69 (Idefics2-8B), and 0.70 (LLaVA-1.5-7B)</w:t>
      </w:r>
    </w:p>
    <w:p>
      <w:pPr>
        <w:pStyle w:val="Heading1"/>
      </w:pPr>
      <w:r>
        <w:t>6.  Grammar, symbols, references and Word hygiene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7.1 - Section 2.2: broken sentence with no antecedent for “both”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2.2, last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“…shows that where a method damages a model, and where it does nothing, both depend on the amateur and on the model” — “both” has nothing to point back to, and “model … model” grates.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Section 5 evaluates both under one protocol and shows that where a method damages a model, and where it does nothing, both depend on the amateur and on the model.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Section 5 evaluates both under one protocol and shows that where each method helps, harms, or does nothing depends on the amateur and on the model.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7.2 - Section 3.3: stray “YCD” needs its subscript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3.3, the paragraph after the truncation equation</w:t>
      </w:r>
    </w:p>
    <w:p>
      <w:pPr>
        <w:spacing w:after="80"/>
        <w:ind w:left="173"/>
      </w:pPr>
      <w:r>
        <w:rPr>
          <w:b w:val="0"/>
          <w:i w:val="0"/>
          <w:sz w:val="21"/>
        </w:rPr>
        <w:t>The symbol is Y_CD everywhere in the equations; the running text spells it “YCD”. Select the “CD” in “YCD” and press Ctrl + = (subscript); italicize the Y to match the math.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and YCD is decoded greedily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and Y{CD subscript} is decoded greedily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Word step: select CD → Home → Subscript (Ctrl + =).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7.3 - Section 3.3: stray “zcf” needs its subscript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3.3, first sentence after the counterfactual equation</w:t>
      </w:r>
    </w:p>
    <w:p>
      <w:pPr>
        <w:spacing w:after="80"/>
        <w:ind w:left="173"/>
      </w:pPr>
      <w:r>
        <w:rPr>
          <w:b w:val="0"/>
          <w:i w:val="0"/>
          <w:sz w:val="21"/>
        </w:rPr>
        <w:t>Same symbol issue: the equations write z_cf.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The vector zcf represents the unimodal bias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The vector z{cf subscript} represents the unimodal bias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Word step: select cf → Ctrl + =.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7.4 - Reference (Shin et al.): “model” → “models”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References</w:t>
      </w:r>
    </w:p>
    <w:p>
      <w:pPr>
        <w:spacing w:after="80"/>
        <w:ind w:left="173"/>
      </w:pPr>
      <w:r>
        <w:rPr>
          <w:b w:val="0"/>
          <w:i w:val="0"/>
          <w:sz w:val="21"/>
        </w:rPr>
        <w:t>Grammar in the title of the entry.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in vision-language model under rotation and noise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in vision-language models under rotation and noise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7.5 - Reference (Laurençon): accent missing in the entry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References</w:t>
      </w:r>
    </w:p>
    <w:p>
      <w:pPr>
        <w:spacing w:after="80"/>
        <w:ind w:left="173"/>
      </w:pPr>
      <w:r>
        <w:rPr>
          <w:b w:val="0"/>
          <w:i w:val="0"/>
          <w:sz w:val="21"/>
        </w:rPr>
        <w:t>The in-text citations carry the accent (“Laurençon et al., 2024”); the entry does not. Make them match.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Laurencon, H., Saulnier, L., Tronchon, L., et al. (2024).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Laurençon, H., Saulnier, L., Tronchon, L., et al. (2024).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7.6 - Reference (Im et al.): ICLR venue format differs from every other ICLR entry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References</w:t>
      </w:r>
    </w:p>
    <w:p>
      <w:pPr>
        <w:spacing w:after="80"/>
        <w:ind w:left="173"/>
      </w:pPr>
      <w:r>
        <w:rPr>
          <w:b w:val="0"/>
          <w:i w:val="0"/>
          <w:sz w:val="21"/>
        </w:rPr>
        <w:t>All other ICLR papers use “In International Conference on Learning Representations (ICLR).” This one inserts “Proceedings of the”.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In Proceedings of the International Conference on Learning Representations (ICLR).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In International Conference on Learning Representations (ICLR).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7.7 - Figure 2’s caption is styled Heading 2 (navigation/TOC pollution)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Figure 2 caption, Section 5.1</w:t>
      </w:r>
    </w:p>
    <w:p>
      <w:pPr>
        <w:spacing w:after="80"/>
        <w:ind w:left="173"/>
      </w:pPr>
      <w:r>
        <w:rPr>
          <w:b w:val="0"/>
          <w:i w:val="0"/>
          <w:sz w:val="21"/>
        </w:rPr>
        <w:t>The other eight captions are Normal. Click the paragraph “Figure 2: Balanced accuracy on the held-out half…” and set its style to Normal (Home → Styles → Normal).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7.8 - Delete the 18 empty paragraphs styled Heading 1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Scattered: after the title, around the Abstract, before Section 2, before the Appendix</w:t>
      </w:r>
    </w:p>
    <w:p>
      <w:pPr>
        <w:spacing w:after="80"/>
        <w:ind w:left="173"/>
      </w:pPr>
      <w:r>
        <w:rPr>
          <w:b w:val="0"/>
          <w:i w:val="0"/>
          <w:sz w:val="21"/>
        </w:rPr>
        <w:t>They are blank lines carrying the Heading 1 style — they become blank entries in the navigation pane and any automatic TOC. Turn on ¶ (Home → ¶), click each empty line whose style box reads “Heading 1”, press Delete. Locations: 1 between the title and “Abstract”; 3 between the Abstract and “1. Introduction”; 1 before “2. Related Work”; 13 between the last reference (Zhang et al., 2026) and “Appendix A”.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Do NOT delete empty Normal paragraphs — several of them carry the display equations (Recall/Specificity/Balanced-Accuracy definitions, gate formula, contrastive equations).</w:t>
      </w:r>
    </w:p>
    <w:p>
      <w:pPr>
        <w:pStyle w:val="Heading1"/>
      </w:pPr>
      <w:r>
        <w:t>7.  Optional polish (each is a small win; skip if in a hurry)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8.1 - Optional: the “one statistic, computed anyway” point appears a third time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1, the paragraph beginning “We propose Entropy-Gated Contrastive Decoding…”</w:t>
      </w:r>
    </w:p>
    <w:p>
      <w:pPr>
        <w:spacing w:after="80"/>
        <w:ind w:left="173"/>
      </w:pPr>
      <w:r>
        <w:rPr>
          <w:b w:val="0"/>
          <w:i w:val="0"/>
          <w:sz w:val="21"/>
        </w:rPr>
        <w:t>After fix 5.4 the claim lives in Contribution 2 and in 3.2 — enough. The intro need not say it twice before Section 3.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 xml:space="preserve">One statistic, computed by the standard forward pass anyway, decides whether the intervention runs at all. </w:t>
      </w:r>
    </w:p>
    <w:p>
      <w:pPr>
        <w:spacing w:after="80"/>
        <w:ind w:left="259"/>
      </w:pPr>
      <w:r>
        <w:rPr>
          <w:b/>
          <w:i w:val="0"/>
          <w:color w:val="0B7C71"/>
          <w:sz w:val="20"/>
        </w:rPr>
        <w:t>REPLACE WITH: (nothing - delete the found text)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Plain deletion — Replace with nothing.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8.2 - Optional: undefined shorthand “CD”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5.1, first paragraph, last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The paper defines “universal CD+APC”; bare “CD” appears only here.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wherever CD helps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wherever that method helps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8.3 - Optional: the coined term is used exactly once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5.3, “We refer to this as Contrastive Overcompensation.”</w:t>
      </w:r>
    </w:p>
    <w:p>
      <w:pPr>
        <w:spacing w:after="80"/>
        <w:ind w:left="173"/>
      </w:pPr>
      <w:r>
        <w:rPr>
          <w:b w:val="0"/>
          <w:i w:val="0"/>
          <w:sz w:val="21"/>
        </w:rPr>
        <w:t>A capital-C named phenomenon that never appears again invites a reviewer note; lowercased it reads as a description.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We refer to this as Contrastive Overcompensation.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We refer to this as contrastive overcompensation.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8.4 - Optional: “Recall comes back” repeats the previous sentence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5.2, first paragraph</w:t>
      </w:r>
    </w:p>
    <w:p>
      <w:pPr>
        <w:spacing w:after="80"/>
        <w:ind w:left="173"/>
      </w:pPr>
      <w:r>
        <w:rPr>
          <w:b w:val="0"/>
          <w:i w:val="0"/>
          <w:sz w:val="21"/>
        </w:rPr>
        <w:t>The sentence before already says Recall climbs to 76.43%.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Recall comes back, but the model has traded one bias for another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The model has traded one bias for another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8.5 - Optional: untangle “its peak … which Table 1 evaluates”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5.4, first paragraph, second sentence</w:t>
      </w:r>
    </w:p>
    <w:p>
      <w:pPr>
        <w:spacing w:after="80"/>
        <w:ind w:left="173"/>
      </w:pPr>
      <w:r>
        <w:rPr>
          <w:b w:val="0"/>
          <w:i w:val="0"/>
          <w:sz w:val="21"/>
        </w:rPr>
        <w:t>The peak lives on the tuning half; Table 1 evaluates the selected threshold. Parenthesize the pointer.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balanced accuracy climbs to its peak at the selected threshold, which Table 1 evaluates on the held-out half, as more uncertain queries get sent to System 2 (Figure 5).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balanced accuracy climbs to its peak at the selected threshold (evaluated on the held-out half in Table 1), as more uncertain queries get sent to System 2 (Figure 5).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8.6 - Optional: say how the gate percentages were measured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Section 5.4, the gate-routing paragraph — apply AFTER fix 2</w:t>
      </w:r>
    </w:p>
    <w:p>
      <w:pPr>
        <w:spacing w:after="80"/>
        <w:ind w:left="173"/>
      </w:pPr>
      <w:r>
        <w:rPr>
          <w:b w:val="0"/>
          <w:i w:val="0"/>
          <w:sz w:val="21"/>
        </w:rPr>
        <w:t>One parenthetical tells the reviewer the numbers are per-query entropy measurements at each model’s τ*, not proportions of tokens or steps.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or LLaVA-v1.6-Mistral-7B. Shuffled routing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or LLaVA-v1.6-Mistral-7B (the fraction of held-out queries whose first-token entropy exceeds each model’s τ*). Shuffled routing</w:t>
      </w:r>
    </w:p>
    <w:p>
      <w:pPr>
        <w:spacing w:after="120"/>
        <w:ind w:left="173"/>
      </w:pPr>
      <w:r>
        <w:rPr>
          <w:b w:val="0"/>
          <w:i/>
          <w:color w:val="5A646E"/>
          <w:sz w:val="19"/>
        </w:rPr>
        <w:t>Note: Only matches after fix 2 has been applied.</w:t>
      </w:r>
    </w:p>
    <w:p>
      <w:pPr>
        <w:pStyle w:val="Heading2"/>
        <w:spacing w:after="40"/>
      </w:pPr>
      <w:r>
        <w:rPr>
          <w:b/>
          <w:i w:val="0"/>
          <w:color w:val="1A1F24"/>
          <w:sz w:val="23"/>
        </w:rPr>
        <w:t>Fix 8.7 - Optional: the abstract’s sound-model example can cover both LLaVAs</w:t>
      </w:r>
    </w:p>
    <w:p>
      <w:pPr>
        <w:spacing w:after="40"/>
        <w:ind w:left="173"/>
      </w:pPr>
      <w:r>
        <w:rPr>
          <w:b w:val="0"/>
          <w:i/>
          <w:color w:val="5A646E"/>
          <w:sz w:val="20"/>
        </w:rPr>
        <w:t>Where: Abstract</w:t>
      </w:r>
    </w:p>
    <w:p>
      <w:pPr>
        <w:spacing w:after="80"/>
        <w:ind w:left="173"/>
      </w:pPr>
      <w:r>
        <w:rPr>
          <w:b w:val="0"/>
          <w:i w:val="0"/>
          <w:sz w:val="21"/>
        </w:rPr>
        <w:t>The suite now contains two structurally sound LLaVA models; the plural keeps the abstract aligned with Section 5.3.</w:t>
      </w:r>
    </w:p>
    <w:p>
      <w:pPr>
        <w:spacing w:after="0"/>
        <w:ind w:left="259"/>
      </w:pPr>
      <w:r>
        <w:rPr>
          <w:b/>
          <w:i w:val="0"/>
          <w:color w:val="AD0C47"/>
          <w:sz w:val="18"/>
        </w:rPr>
        <w:t>FIND (exact, whole string):</w:t>
      </w:r>
    </w:p>
    <w:p>
      <w:pPr>
        <w:spacing w:after="120"/>
        <w:ind w:left="259"/>
        <w:shd w:val="clear" w:fill="F2F2F2"/>
      </w:pPr>
      <w:r>
        <w:rPr>
          <w:rFonts w:ascii="Courier New" w:hAnsi="Courier New" w:eastAsia="Courier New"/>
          <w:sz w:val="19"/>
        </w:rPr>
        <w:t>On structurally sound models such as LLaVA-1.5-7B, where universal contrastive decoding collapses balanced accuracy to 63.06%</w:t>
      </w:r>
    </w:p>
    <w:p>
      <w:pPr>
        <w:spacing w:after="0"/>
        <w:ind w:left="259"/>
      </w:pPr>
      <w:r>
        <w:rPr>
          <w:b/>
          <w:i w:val="0"/>
          <w:color w:val="0B7C71"/>
          <w:sz w:val="18"/>
        </w:rPr>
        <w:t>REPLACE WITH:</w:t>
      </w:r>
    </w:p>
    <w:p>
      <w:pPr>
        <w:spacing w:after="120"/>
        <w:ind w:left="259"/>
        <w:shd w:val="clear" w:fill="EAF6F3"/>
      </w:pPr>
      <w:r>
        <w:rPr>
          <w:rFonts w:ascii="Courier New" w:hAnsi="Courier New" w:eastAsia="Courier New"/>
          <w:sz w:val="19"/>
        </w:rPr>
        <w:t>On structurally sound models such as the LLaVA models, where universal contrastive decoding collapses balanced accuracy to 63.06%</w:t>
      </w:r>
    </w:p>
    <w:p>
      <w:pPr>
        <w:pStyle w:val="Heading1"/>
      </w:pPr>
      <w:r>
        <w:t>8.  Leave these alone (verified correct - do not 'fix' them)</w:t>
      </w:r>
    </w:p>
    <w:p>
      <w:pPr>
        <w:pStyle w:val="ListBullet"/>
      </w:pPr>
      <w:r>
        <w:rPr>
          <w:sz w:val="21"/>
        </w:rPr>
        <w:t>“Phi-3-Vision-4.2B gains 7.31” — keep 7.31. Figure 3 and the unrounded deltas agree; 77.50 − 70.18 = 7.32 only after rounding.</w:t>
      </w:r>
    </w:p>
    <w:p>
      <w:pPr>
        <w:pStyle w:val="ListBullet"/>
      </w:pPr>
      <w:r>
        <w:rPr>
          <w:sz w:val="21"/>
        </w:rPr>
        <w:t>“stays within 0.7 points of the greedy baseline” — keep 0.7. With the corrected Mistral SID row, every model is inside it (worst case SmolVLM2 at +0.68).</w:t>
      </w:r>
    </w:p>
    <w:p>
      <w:pPr>
        <w:pStyle w:val="ListBullet"/>
      </w:pPr>
      <w:r>
        <w:rPr>
          <w:sz w:val="21"/>
        </w:rPr>
        <w:t>The 76.17 inside Table A1 (Phi-3 row, τ = 0.55) is genuine sweep data — unrelated to the old 76.17/76.78 text typo, which is already gone.</w:t>
      </w:r>
    </w:p>
    <w:p>
      <w:pPr>
        <w:pStyle w:val="ListBullet"/>
      </w:pPr>
      <w:r>
        <w:rPr>
          <w:sz w:val="21"/>
        </w:rPr>
        <w:t>The abstract’s closing refrain (“applied where it heals, withheld where it harms”) stays — the duplication pass deliberately keeps the Abstract, Section 1 and 5.4 versions.</w:t>
      </w:r>
    </w:p>
    <w:p>
      <w:pPr>
        <w:pStyle w:val="ListBullet"/>
      </w:pPr>
      <w:r>
        <w:rPr>
          <w:sz w:val="21"/>
        </w:rPr>
        <w:t>Every non-Mistral row of Table 1 (including LLaVA-1.5’s VCD 76.84 / 75.07 / 75.96) — verified against the results files; held-out values, correct as printed.</w:t>
      </w:r>
    </w:p>
    <w:p>
      <w:pPr>
        <w:pStyle w:val="Heading1"/>
      </w:pPr>
      <w:r>
        <w:t>9.  Verdict</w:t>
      </w:r>
    </w:p>
    <w:p>
      <w:pPr>
        <w:spacing w:after="120"/>
      </w:pPr>
      <w:r>
        <w:rPr>
          <w:b w:val="0"/>
          <w:i w:val="0"/>
          <w:sz w:val="21"/>
        </w:rPr>
        <w:t>Once fixes 2–7 are applied, every number and every claim in the draft traces to run data, all nine figures carry correct one-line captions and in-text references, and the seven-model story is complete: gate rates for all seven models, sweeps for the four bias-affected plus three sound architectures, τ-robustness over all seven, and an appendix that states plainly which basis each table and figure uses. What remains is presentation, not content: journal typesetting in Overleaf (columns, fonts, equation numbering), reference-list normalization via BibTeX, and the empty spacer paragraphs Word will reflow anyway. Content-wise the paper is publish-ready after this list.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 xml:space="preserve">EGCD 10th draft - fix list -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 w:eastAsia="Calibri"/>
      <w:color w:val="1A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7C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A1F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5A64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