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620" w:lineRule="atLeast"/>
      </w:pPr>
      <w:r>
        <w:rPr>
          <w:rFonts w:ascii="Times New Roman" w:cs="Times New Roman" w:eastAsia="Times New Roman" w:hAnsi="Times New Roman"/>
          <w:b/>
          <w:bCs/>
          <w:color w:val="111827"/>
          <w:sz w:val="40"/>
          <w:szCs w:val="40"/>
        </w:rPr>
        <w:t xml:space="preserve">Integrating VCD and SID into the Ninth Draft</w:t>
      </w:r>
    </w:p>
    <w:p>
      <w:pPr>
        <w:spacing w:after="40" w:line="312"/>
      </w:pPr>
      <w:r>
        <w:rPr>
          <w:rFonts w:ascii="Times New Roman" w:cs="Times New Roman" w:eastAsia="Times New Roman" w:hAnsi="Times New Roman"/>
          <w:b w:val="false"/>
          <w:bCs w:val="false"/>
          <w:i/>
          <w:iCs/>
          <w:color w:val="6B7280"/>
          <w:sz w:val="23"/>
          <w:szCs w:val="23"/>
        </w:rPr>
        <w:t xml:space="preserve">Revision notes for the EGCD manuscript — comparison with published decoding baselines, carried by Table 1 and Figures 2–7</w:t>
      </w:r>
    </w:p>
    <w:p>
      <w:pPr>
        <w:pBdr>
          <w:bottom w:val="single" w:color="111827" w:sz="8" w:space="6"/>
        </w:pBdr>
        <w:spacing w:after="260" w:line="312"/>
      </w:pPr>
      <w:r>
        <w:rPr>
          <w:rFonts w:ascii="Times New Roman" w:cs="Times New Roman" w:eastAsia="Times New Roman" w:hAnsi="Times New Roman"/>
          <w:b w:val="false"/>
          <w:bCs w:val="false"/>
          <w:i w:val="false"/>
          <w:iCs w:val="false"/>
          <w:color w:val="6B7280"/>
          <w:sz w:val="18"/>
          <w:szCs w:val="18"/>
        </w:rPr>
        <w:t xml:space="preserve">Prepared 12 September 2026  ·  sources: results archive (baselines_results.json, table1_heldout_main.csv, appendixA_tuning_sweep_6models.csv) and the supervisor's review</w:t>
      </w:r>
    </w:p>
    <w:p>
      <w:pPr>
        <w:pStyle w:val="Heading1"/>
        <w:spacing w:after="150" w:before="340" w:line="312"/>
      </w:pPr>
      <w:r>
        <w:rPr>
          <w:rFonts w:ascii="Times New Roman" w:cs="Times New Roman" w:eastAsia="Times New Roman" w:hAnsi="Times New Roman"/>
          <w:b/>
          <w:bCs/>
          <w:color w:val="111827"/>
          <w:sz w:val="27"/>
          <w:szCs w:val="27"/>
        </w:rPr>
        <w:t xml:space="preserve">1. Strategy</w:t>
      </w:r>
    </w:p>
    <w:p>
      <w:pPr>
        <w:keepNext w:val="false"/>
        <w:spacing w:after="140" w:before="0" w:line="312"/>
        <w:jc w:val="both"/>
      </w:pPr>
      <w:r>
        <w:rPr>
          <w:rFonts w:ascii="Times New Roman" w:cs="Times New Roman" w:eastAsia="Times New Roman" w:hAnsi="Times New Roman"/>
          <w:b w:val="false"/>
          <w:bCs w:val="false"/>
          <w:i w:val="false"/>
          <w:iCs w:val="false"/>
          <w:color w:val="000000"/>
          <w:sz w:val="22"/>
          <w:szCs w:val="22"/>
        </w:rPr>
        <w:t xml:space="preserve">The review's third concern asks for published decoding baselines; the answer goes into the assets the reader already looks at, not into new prose structure. VCD and SID enter Table 1 as two additional regime rows per model, listed alongside the greedy baseline, universal CD+APC and EGCD, and Figures 2–7 are replaced by redrawn versions in the manuscript's established visual language (teal for EGCD, purple for CD+APC, slate for the baseline, with two muted competitor hues added: dusty rose for VCD and dusty blue for SID). The prose footprint is deliberately small: one clause in Section 4.4, one word in Section 5.1, and one three-sentence block at the end of the main results paragraph in Section 5.1. Nothing else in the argument needs to move.</w:t>
      </w:r>
    </w:p>
    <w:p>
      <w:pPr>
        <w:keepNext w:val="false"/>
        <w:spacing w:after="140" w:before="0" w:line="312"/>
        <w:jc w:val="both"/>
      </w:pPr>
      <w:r>
        <w:rPr>
          <w:rFonts w:ascii="Times New Roman" w:cs="Times New Roman" w:eastAsia="Times New Roman" w:hAnsi="Times New Roman"/>
          <w:b w:val="false"/>
          <w:bCs w:val="false"/>
          <w:i w:val="false"/>
          <w:iCs w:val="false"/>
          <w:color w:val="000000"/>
          <w:sz w:val="22"/>
          <w:szCs w:val="22"/>
        </w:rPr>
        <w:t xml:space="preserve">This route also retires the earlier change list's subsection 5.5 and its Figure 8: everything they carried is absorbed by the new table rows, the rebuilt Figures 2–3, and edit E3 below, and no cross-references to them remain. If the current draft already contains them, delete both. The result is fewer moving parts: one table, six figure slots, four required text edits, and a short list of held-out number updates that may or may not already be applied depending on how much of the earlier list the draft took.</w:t>
      </w:r>
    </w:p>
    <w:p>
      <w:pPr>
        <w:keepNext w:val="false"/>
        <w:spacing w:after="140" w:before="0" w:line="312"/>
        <w:jc w:val="both"/>
      </w:pPr>
      <w:r>
        <w:rPr>
          <w:rFonts w:ascii="Times New Roman" w:cs="Times New Roman" w:eastAsia="Times New Roman" w:hAnsi="Times New Roman"/>
          <w:b w:val="false"/>
          <w:bCs w:val="false"/>
          <w:i w:val="false"/>
          <w:iCs w:val="false"/>
          <w:color w:val="000000"/>
          <w:sz w:val="22"/>
          <w:szCs w:val="22"/>
        </w:rPr>
        <w:t xml:space="preserve">A note on provenance and one correction. Every number below traces to the results archive that accompanies the review: the held-out table (baselines_results.json, table1_heldout_main.csv) for the five-regime comparison, and the tuning-half sweep (appendixA_tuning_sweep_6models.csv) for Figures 5–7 — the selection record whose per-model peak is the operating point that Table 1 evaluates on the held-out half. One claim in the earlier change list does not survive checking and is corrected here: SID is not “never below” the greedy baseline — on Phi-3-Vision-4.2B it sits 0.38 points under it (statistically indistinguishable, p &gt; 0.99). The suggested wording in E3 respects that, which matters in a paper whose whole point is claim discipline.</w:t>
      </w:r>
    </w:p>
    <w:p>
      <w:pPr>
        <w:pStyle w:val="Heading1"/>
        <w:spacing w:after="150" w:before="340" w:line="312"/>
      </w:pPr>
      <w:r>
        <w:rPr>
          <w:rFonts w:ascii="Times New Roman" w:cs="Times New Roman" w:eastAsia="Times New Roman" w:hAnsi="Times New Roman"/>
          <w:b/>
          <w:bCs/>
          <w:color w:val="111827"/>
          <w:sz w:val="27"/>
          <w:szCs w:val="27"/>
        </w:rPr>
        <w:t xml:space="preserve">2. Table 1 — full replacement</w:t>
      </w:r>
    </w:p>
    <w:p>
      <w:pPr>
        <w:keepNext w:val="false"/>
        <w:spacing w:after="140" w:before="0" w:line="312"/>
        <w:jc w:val="both"/>
      </w:pPr>
      <w:r>
        <w:rPr>
          <w:rFonts w:ascii="Times New Roman" w:cs="Times New Roman" w:eastAsia="Times New Roman" w:hAnsi="Times New Roman"/>
          <w:b w:val="false"/>
          <w:bCs w:val="false"/>
          <w:i w:val="false"/>
          <w:iCs w:val="false"/>
          <w:color w:val="000000"/>
          <w:sz w:val="22"/>
          <w:szCs w:val="22"/>
        </w:rPr>
        <w:t xml:space="preserve">Replace the current results table and its caption with the version below. The structure is unchanged from the draft's table — Model, Regime, Recall, Specificity, Balanced Accuracy — with two new rows per model. EGCD's own row keeps its emphasis (shaded, bold); VCD and SID are set as ordinary published rows on a neutral tint so the reader sees five regimes at one glance, which is exactly what Concern 3 asks for. If your current table carries extra columns (threshold, deltas), keep them; the ten new cells drop in unchanged.</w:t>
      </w:r>
    </w:p>
    <w:p>
      <w:pPr>
        <w:keepNext/>
        <w:spacing w:after="100" w:before="0" w:line="312"/>
        <w:jc w:val="both"/>
      </w:pPr>
      <w:r>
        <w:rPr>
          <w:rFonts w:ascii="Times New Roman" w:cs="Times New Roman" w:eastAsia="Times New Roman" w:hAnsi="Times New Roman"/>
          <w:b w:val="false"/>
          <w:bCs w:val="false"/>
          <w:i/>
          <w:iCs/>
          <w:color w:val="6B7280"/>
          <w:sz w:val="19"/>
          <w:szCs w:val="19"/>
        </w:rPr>
        <w:t xml:space="preserve">Table for copy-over — values are held-out; † marks the Mistral rows from the earlier full-set run.</w:t>
      </w:r>
    </w:p>
    <w:tbl>
      <w:tblPr>
        <w:tblW w:type="pct" w:w="100%"/>
        <w:tblBorders>
          <w:top w:val="single" w:color="CBD5D1" w:sz="6"/>
          <w:left w:val="none"/>
          <w:bottom w:val="single" w:color="CBD5D1" w:sz="6"/>
          <w:right w:val="none"/>
          <w:insideH w:val="single" w:color="E2E8E6" w:sz="2"/>
          <w:insideV w:val="none"/>
        </w:tblBorders>
      </w:tblPr>
      <w:tblGrid>
        <w:gridCol w:w="100"/>
        <w:gridCol w:w="100"/>
        <w:gridCol w:w="100"/>
        <w:gridCol w:w="100"/>
        <w:gridCol w:w="100"/>
      </w:tblGrid>
      <w:tr>
        <w:trPr>
          <w:cantSplit/>
          <w:tblHeader/>
        </w:trPr>
        <w:tc>
          <w:tcPr>
            <w:tcW w:type="pct" w:w="20%"/>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19"/>
                <w:szCs w:val="19"/>
              </w:rPr>
              <w:t xml:space="preserve">Model</w:t>
            </w:r>
          </w:p>
        </w:tc>
        <w:tc>
          <w:tcPr>
            <w:tcW w:type="pct" w:w="34%"/>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19"/>
                <w:szCs w:val="19"/>
              </w:rPr>
              <w:t xml:space="preserve">Regime</w:t>
            </w:r>
          </w:p>
        </w:tc>
        <w:tc>
          <w:tcPr>
            <w:tcW w:type="pct" w:w="15%"/>
            <w:shd w:fill="EEF2F1" w:val="clear"/>
            <w:tcMar>
              <w:top w:type="dxa" w:w="70"/>
              <w:left w:type="dxa" w:w="120"/>
              <w:bottom w:type="dxa" w:w="70"/>
              <w:right w:type="dxa" w:w="120"/>
            </w:tcMar>
            <w:vAlign w:val="center"/>
          </w:tcPr>
          <w:p>
            <w:pPr>
              <w:spacing w:after="0" w:line="276"/>
              <w:jc w:val="right"/>
            </w:pPr>
            <w:r>
              <w:rPr>
                <w:rFonts w:ascii="Times New Roman" w:cs="Times New Roman" w:eastAsia="Times New Roman" w:hAnsi="Times New Roman"/>
                <w:b/>
                <w:bCs/>
                <w:i w:val="false"/>
                <w:iCs w:val="false"/>
                <w:color w:val="000000"/>
                <w:sz w:val="19"/>
                <w:szCs w:val="19"/>
              </w:rPr>
              <w:t xml:space="preserve">Recall (%)</w:t>
            </w:r>
          </w:p>
        </w:tc>
        <w:tc>
          <w:tcPr>
            <w:tcW w:type="pct" w:w="15%"/>
            <w:shd w:fill="EEF2F1" w:val="clear"/>
            <w:tcMar>
              <w:top w:type="dxa" w:w="70"/>
              <w:left w:type="dxa" w:w="120"/>
              <w:bottom w:type="dxa" w:w="70"/>
              <w:right w:type="dxa" w:w="120"/>
            </w:tcMar>
            <w:vAlign w:val="center"/>
          </w:tcPr>
          <w:p>
            <w:pPr>
              <w:spacing w:after="0" w:line="276"/>
              <w:jc w:val="right"/>
            </w:pPr>
            <w:r>
              <w:rPr>
                <w:rFonts w:ascii="Times New Roman" w:cs="Times New Roman" w:eastAsia="Times New Roman" w:hAnsi="Times New Roman"/>
                <w:b/>
                <w:bCs/>
                <w:i w:val="false"/>
                <w:iCs w:val="false"/>
                <w:color w:val="000000"/>
                <w:sz w:val="19"/>
                <w:szCs w:val="19"/>
              </w:rPr>
              <w:t xml:space="preserve">Specificity (%)</w:t>
            </w:r>
          </w:p>
        </w:tc>
        <w:tc>
          <w:tcPr>
            <w:tcW w:type="pct" w:w="16%"/>
            <w:shd w:fill="EEF2F1" w:val="clear"/>
            <w:tcMar>
              <w:top w:type="dxa" w:w="70"/>
              <w:left w:type="dxa" w:w="120"/>
              <w:bottom w:type="dxa" w:w="70"/>
              <w:right w:type="dxa" w:w="120"/>
            </w:tcMar>
            <w:vAlign w:val="center"/>
          </w:tcPr>
          <w:p>
            <w:pPr>
              <w:spacing w:after="0" w:line="276"/>
              <w:jc w:val="right"/>
            </w:pPr>
            <w:r>
              <w:rPr>
                <w:rFonts w:ascii="Times New Roman" w:cs="Times New Roman" w:eastAsia="Times New Roman" w:hAnsi="Times New Roman"/>
                <w:b/>
                <w:bCs/>
                <w:i w:val="false"/>
                <w:iCs w:val="false"/>
                <w:color w:val="000000"/>
                <w:sz w:val="19"/>
                <w:szCs w:val="19"/>
              </w:rPr>
              <w:t xml:space="preserve">Bal. Acc. (%)</w:t>
            </w:r>
          </w:p>
        </w:tc>
      </w:tr>
      <w:tr>
        <w:trPr>
          <w:cantSplit/>
        </w:trPr>
        <w:tc>
          <w:tcPr>
            <w:tcW w:type="pct" w:w="20%"/>
            <w:vMerge w:val="restart"/>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Qwen2-VL-2B</w:t>
            </w:r>
            <w:r>
              <w:rPr>
                <w:rFonts w:ascii="Times New Roman" w:cs="Times New Roman" w:eastAsia="Times New Roman" w:hAnsi="Times New Roman"/>
                <w:b w:val="false"/>
                <w:bCs w:val="false"/>
                <w:i w:val="false"/>
                <w:iCs w:val="false"/>
                <w:color w:val="000000"/>
                <w:sz w:val="22"/>
                <w:szCs w:val="22"/>
              </w:rPr>
              <w:t xml:space="preserve">
</w:t>
            </w: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Greedy baseline</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49.39</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93.62</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71.50</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CD+APC</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76.43</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79.13</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77.78</w:t>
            </w:r>
          </w:p>
        </w:tc>
      </w:tr>
      <w:tr>
        <w:trPr>
          <w:cantSplit/>
        </w:trPr>
        <w:tc>
          <w:tcPr>
            <w:vMerge w:val="continue"/>
          </w:tcPr>
          <w:p/>
        </w:tc>
        <w:tc>
          <w:tcPr>
            <w:tcW w:type="pct" w:w="34%"/>
            <w:shd w:fill="E7F4F1"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EGCD (ours)</w:t>
            </w:r>
            <w:r>
              <w:rPr>
                <w:rFonts w:ascii="Times New Roman" w:cs="Times New Roman" w:eastAsia="Times New Roman" w:hAnsi="Times New Roman"/>
                <w:b/>
                <w:bCs/>
                <w:i w:val="false"/>
                <w:iCs w:val="false"/>
                <w:color w:val="000000"/>
                <w:sz w:val="19"/>
                <w:szCs w:val="19"/>
              </w:rPr>
              <w:br/>
              <w:t xml:space="preserve">τ = 0.70</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75.41</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86.38</w:t>
            </w:r>
          </w:p>
        </w:tc>
        <w:tc>
          <w:tcPr>
            <w:tcW w:type="pct" w:w="16%"/>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80.89</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VCD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49.39</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93.62</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71.50</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SID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49.39</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93.62</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71.50</w:t>
            </w:r>
          </w:p>
        </w:tc>
      </w:tr>
      <w:tr>
        <w:trPr>
          <w:cantSplit/>
        </w:trPr>
        <w:tc>
          <w:tcPr>
            <w:tcW w:type="pct" w:w="20%"/>
            <w:vMerge w:val="restart"/>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Phi-3-Vision-4.2B</w:t>
            </w:r>
            <w:r>
              <w:rPr>
                <w:rFonts w:ascii="Times New Roman" w:cs="Times New Roman" w:eastAsia="Times New Roman" w:hAnsi="Times New Roman"/>
                <w:b w:val="false"/>
                <w:bCs w:val="false"/>
                <w:i w:val="false"/>
                <w:iCs w:val="false"/>
                <w:color w:val="000000"/>
                <w:sz w:val="22"/>
                <w:szCs w:val="22"/>
              </w:rPr>
              <w:t xml:space="preserve">
</w:t>
            </w: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Greedy baseline</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48.77</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91.59</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70.18</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CD+APC</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76.02</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78.84</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77.43</w:t>
            </w:r>
          </w:p>
        </w:tc>
      </w:tr>
      <w:tr>
        <w:trPr>
          <w:cantSplit/>
        </w:trPr>
        <w:tc>
          <w:tcPr>
            <w:vMerge w:val="continue"/>
          </w:tcPr>
          <w:p/>
        </w:tc>
        <w:tc>
          <w:tcPr>
            <w:tcW w:type="pct" w:w="34%"/>
            <w:shd w:fill="E7F4F1"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EGCD (ours)</w:t>
            </w:r>
            <w:r>
              <w:rPr>
                <w:rFonts w:ascii="Times New Roman" w:cs="Times New Roman" w:eastAsia="Times New Roman" w:hAnsi="Times New Roman"/>
                <w:b/>
                <w:bCs/>
                <w:i w:val="false"/>
                <w:iCs w:val="false"/>
                <w:color w:val="000000"/>
                <w:sz w:val="19"/>
                <w:szCs w:val="19"/>
              </w:rPr>
              <w:br/>
              <w:t xml:space="preserve">τ = 0.62</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71.52</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83.48</w:t>
            </w:r>
          </w:p>
        </w:tc>
        <w:tc>
          <w:tcPr>
            <w:tcW w:type="pct" w:w="16%"/>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77.50</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VCD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44.47</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92.17</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68.32</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SID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45.70</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93.91</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69.80</w:t>
            </w:r>
          </w:p>
        </w:tc>
      </w:tr>
      <w:tr>
        <w:trPr>
          <w:cantSplit/>
        </w:trPr>
        <w:tc>
          <w:tcPr>
            <w:tcW w:type="pct" w:w="20%"/>
            <w:vMerge w:val="restart"/>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SmolVLM2-2.2B</w:t>
            </w:r>
            <w:r>
              <w:rPr>
                <w:rFonts w:ascii="Times New Roman" w:cs="Times New Roman" w:eastAsia="Times New Roman" w:hAnsi="Times New Roman"/>
                <w:b w:val="false"/>
                <w:bCs w:val="false"/>
                <w:i w:val="false"/>
                <w:iCs w:val="false"/>
                <w:color w:val="000000"/>
                <w:sz w:val="22"/>
                <w:szCs w:val="22"/>
              </w:rPr>
              <w:t xml:space="preserve">
</w:t>
            </w: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Greedy baseline</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33.40</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94.20</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63.80</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CD+APC</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51.02</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84.93</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67.98</w:t>
            </w:r>
          </w:p>
        </w:tc>
      </w:tr>
      <w:tr>
        <w:trPr>
          <w:cantSplit/>
        </w:trPr>
        <w:tc>
          <w:tcPr>
            <w:vMerge w:val="continue"/>
          </w:tcPr>
          <w:p/>
        </w:tc>
        <w:tc>
          <w:tcPr>
            <w:tcW w:type="pct" w:w="34%"/>
            <w:shd w:fill="E7F4F1"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EGCD (ours)</w:t>
            </w:r>
            <w:r>
              <w:rPr>
                <w:rFonts w:ascii="Times New Roman" w:cs="Times New Roman" w:eastAsia="Times New Roman" w:hAnsi="Times New Roman"/>
                <w:b/>
                <w:bCs/>
                <w:i w:val="false"/>
                <w:iCs w:val="false"/>
                <w:color w:val="000000"/>
                <w:sz w:val="19"/>
                <w:szCs w:val="19"/>
              </w:rPr>
              <w:br/>
              <w:t xml:space="preserve">τ = 0.68</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49.18</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86.96</w:t>
            </w:r>
          </w:p>
        </w:tc>
        <w:tc>
          <w:tcPr>
            <w:tcW w:type="pct" w:w="16%"/>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68.07</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VCD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57.38</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84.06</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70.72</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SID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35.04</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93.91</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64.48</w:t>
            </w:r>
          </w:p>
        </w:tc>
      </w:tr>
      <w:tr>
        <w:trPr>
          <w:cantSplit/>
        </w:trPr>
        <w:tc>
          <w:tcPr>
            <w:tcW w:type="pct" w:w="20%"/>
            <w:vMerge w:val="restart"/>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Qwen2.5-VL-7B</w:t>
            </w:r>
            <w:r>
              <w:rPr>
                <w:rFonts w:ascii="Times New Roman" w:cs="Times New Roman" w:eastAsia="Times New Roman" w:hAnsi="Times New Roman"/>
                <w:b w:val="false"/>
                <w:bCs w:val="false"/>
                <w:i w:val="false"/>
                <w:iCs w:val="false"/>
                <w:color w:val="000000"/>
                <w:sz w:val="22"/>
                <w:szCs w:val="22"/>
              </w:rPr>
              <w:t xml:space="preserve">
</w:t>
            </w: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Greedy baseline</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62.30</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99.42</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80.86</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CD+APC</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69.47</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96.23</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82.85</w:t>
            </w:r>
          </w:p>
        </w:tc>
      </w:tr>
      <w:tr>
        <w:trPr>
          <w:cantSplit/>
        </w:trPr>
        <w:tc>
          <w:tcPr>
            <w:vMerge w:val="continue"/>
          </w:tcPr>
          <w:p/>
        </w:tc>
        <w:tc>
          <w:tcPr>
            <w:tcW w:type="pct" w:w="34%"/>
            <w:shd w:fill="E7F4F1"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EGCD (ours)</w:t>
            </w:r>
            <w:r>
              <w:rPr>
                <w:rFonts w:ascii="Times New Roman" w:cs="Times New Roman" w:eastAsia="Times New Roman" w:hAnsi="Times New Roman"/>
                <w:b/>
                <w:bCs/>
                <w:i w:val="false"/>
                <w:iCs w:val="false"/>
                <w:color w:val="000000"/>
                <w:sz w:val="19"/>
                <w:szCs w:val="19"/>
              </w:rPr>
              <w:br/>
              <w:t xml:space="preserve">τ = 0.65</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67.01</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98.55</w:t>
            </w:r>
          </w:p>
        </w:tc>
        <w:tc>
          <w:tcPr>
            <w:tcW w:type="pct" w:w="16%"/>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82.78</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VCD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61.27</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98.55</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79.91</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SID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62.09</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99.42</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80.76</w:t>
            </w:r>
          </w:p>
        </w:tc>
      </w:tr>
      <w:tr>
        <w:trPr>
          <w:cantSplit/>
        </w:trPr>
        <w:tc>
          <w:tcPr>
            <w:tcW w:type="pct" w:w="20%"/>
            <w:vMerge w:val="restart"/>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Idefics2-8B</w:t>
            </w:r>
            <w:r>
              <w:rPr>
                <w:rFonts w:ascii="Times New Roman" w:cs="Times New Roman" w:eastAsia="Times New Roman" w:hAnsi="Times New Roman"/>
                <w:b w:val="false"/>
                <w:bCs w:val="false"/>
                <w:i w:val="false"/>
                <w:iCs w:val="false"/>
                <w:color w:val="000000"/>
                <w:sz w:val="22"/>
                <w:szCs w:val="22"/>
              </w:rPr>
              <w:t xml:space="preserve">
</w:t>
            </w: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Greedy baseline</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74.18</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91.88</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83.03</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CD+APC</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73.77</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92.17</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82.97</w:t>
            </w:r>
          </w:p>
        </w:tc>
      </w:tr>
      <w:tr>
        <w:trPr>
          <w:cantSplit/>
        </w:trPr>
        <w:tc>
          <w:tcPr>
            <w:vMerge w:val="continue"/>
          </w:tcPr>
          <w:p/>
        </w:tc>
        <w:tc>
          <w:tcPr>
            <w:tcW w:type="pct" w:w="34%"/>
            <w:shd w:fill="E7F4F1"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EGCD (ours)</w:t>
            </w:r>
            <w:r>
              <w:rPr>
                <w:rFonts w:ascii="Times New Roman" w:cs="Times New Roman" w:eastAsia="Times New Roman" w:hAnsi="Times New Roman"/>
                <w:b/>
                <w:bCs/>
                <w:i w:val="false"/>
                <w:iCs w:val="false"/>
                <w:color w:val="000000"/>
                <w:sz w:val="19"/>
                <w:szCs w:val="19"/>
              </w:rPr>
              <w:br/>
              <w:t xml:space="preserve">τ = 0.69</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73.98</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92.17</w:t>
            </w:r>
          </w:p>
        </w:tc>
        <w:tc>
          <w:tcPr>
            <w:tcW w:type="pct" w:w="16%"/>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83.07</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VCD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75.41</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89.57</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82.49</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SID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74.18</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91.88</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83.03</w:t>
            </w:r>
          </w:p>
        </w:tc>
      </w:tr>
      <w:tr>
        <w:trPr>
          <w:cantSplit/>
        </w:trPr>
        <w:tc>
          <w:tcPr>
            <w:tcW w:type="pct" w:w="20%"/>
            <w:vMerge w:val="restart"/>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LLaVA-1.5-7B</w:t>
            </w:r>
            <w:r>
              <w:rPr>
                <w:rFonts w:ascii="Times New Roman" w:cs="Times New Roman" w:eastAsia="Times New Roman" w:hAnsi="Times New Roman"/>
                <w:b w:val="false"/>
                <w:bCs w:val="false"/>
                <w:i w:val="false"/>
                <w:iCs w:val="false"/>
                <w:color w:val="000000"/>
                <w:sz w:val="22"/>
                <w:szCs w:val="22"/>
              </w:rPr>
              <w:t xml:space="preserve">
</w:t>
            </w: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Greedy baseline</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75.00</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78.55</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76.78</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CD+APC</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29.30</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96.81</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63.06</w:t>
            </w:r>
          </w:p>
        </w:tc>
      </w:tr>
      <w:tr>
        <w:trPr>
          <w:cantSplit/>
        </w:trPr>
        <w:tc>
          <w:tcPr>
            <w:vMerge w:val="continue"/>
          </w:tcPr>
          <w:p/>
        </w:tc>
        <w:tc>
          <w:tcPr>
            <w:tcW w:type="pct" w:w="34%"/>
            <w:shd w:fill="E7F4F1"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EGCD (ours)</w:t>
            </w:r>
            <w:r>
              <w:rPr>
                <w:rFonts w:ascii="Times New Roman" w:cs="Times New Roman" w:eastAsia="Times New Roman" w:hAnsi="Times New Roman"/>
                <w:b/>
                <w:bCs/>
                <w:i w:val="false"/>
                <w:iCs w:val="false"/>
                <w:color w:val="000000"/>
                <w:sz w:val="19"/>
                <w:szCs w:val="19"/>
              </w:rPr>
              <w:br/>
              <w:t xml:space="preserve">τ = 0.70</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75.00</w:t>
            </w:r>
          </w:p>
        </w:tc>
        <w:tc>
          <w:tcPr>
            <w:tcW w:type="pct" w:w="15%"/>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78.55</w:t>
            </w:r>
          </w:p>
        </w:tc>
        <w:tc>
          <w:tcPr>
            <w:tcW w:type="pct" w:w="16%"/>
            <w:shd w:fill="E7F4F1"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bCs/>
                <w:i w:val="false"/>
                <w:iCs w:val="false"/>
                <w:color w:val="000000"/>
                <w:sz w:val="19"/>
                <w:szCs w:val="19"/>
              </w:rPr>
              <w:t xml:space="preserve">76.78</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VCD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76.84</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75.07</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75.96</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SID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75.00</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78.55</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76.78</w:t>
            </w:r>
          </w:p>
        </w:tc>
      </w:tr>
      <w:tr>
        <w:trPr>
          <w:cantSplit/>
        </w:trPr>
        <w:tc>
          <w:tcPr>
            <w:tcW w:type="pct" w:w="20%"/>
            <w:vMerge w:val="restart"/>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bCs/>
                <w:i w:val="false"/>
                <w:iCs w:val="false"/>
                <w:color w:val="000000"/>
                <w:sz w:val="19"/>
                <w:szCs w:val="19"/>
              </w:rPr>
              <w:t xml:space="preserve">LLaVA-v1.6-Mistral-7B</w:t>
            </w:r>
            <w:r>
              <w:rPr>
                <w:rFonts w:ascii="Times New Roman" w:cs="Times New Roman" w:eastAsia="Times New Roman" w:hAnsi="Times New Roman"/>
                <w:b w:val="false"/>
                <w:bCs w:val="false"/>
                <w:i w:val="false"/>
                <w:iCs w:val="false"/>
                <w:color w:val="000000"/>
                <w:sz w:val="22"/>
                <w:szCs w:val="22"/>
              </w:rPr>
              <w:t xml:space="preserve">
</w:t>
            </w: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iCs/>
                <w:color w:val="000000"/>
                <w:sz w:val="19"/>
                <w:szCs w:val="19"/>
              </w:rPr>
              <w:t xml:space="preserve">Greedy baseline †</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78.36</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93.76</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86.06</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iCs/>
                <w:color w:val="000000"/>
                <w:sz w:val="19"/>
                <w:szCs w:val="19"/>
              </w:rPr>
              <w:t xml:space="preserve">Universal CD+APC †</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64.92</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86.36</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75.64</w:t>
            </w:r>
          </w:p>
        </w:tc>
      </w:tr>
      <w:tr>
        <w:trPr>
          <w:cantSplit/>
        </w:trPr>
        <w:tc>
          <w:tcPr>
            <w:vMerge w:val="continue"/>
          </w:tcPr>
          <w:p/>
        </w:tc>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iCs/>
                <w:color w:val="000000"/>
                <w:sz w:val="19"/>
                <w:szCs w:val="19"/>
              </w:rPr>
              <w:t xml:space="preserve">EGCD (ours)</w:t>
            </w:r>
            <w:r>
              <w:rPr>
                <w:rFonts w:ascii="Times New Roman" w:cs="Times New Roman" w:eastAsia="Times New Roman" w:hAnsi="Times New Roman"/>
                <w:b w:val="false"/>
                <w:bCs w:val="false"/>
                <w:i/>
                <w:iCs/>
                <w:color w:val="000000"/>
                <w:sz w:val="19"/>
                <w:szCs w:val="19"/>
              </w:rPr>
              <w:br/>
              <w:t xml:space="preserve">τ = 0.71 †</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78.36</w:t>
            </w:r>
          </w:p>
        </w:tc>
        <w:tc>
          <w:tcPr>
            <w:tcW w:type="pct" w:w="15%"/>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93.76</w:t>
            </w:r>
          </w:p>
        </w:tc>
        <w:tc>
          <w:tcPr>
            <w:tcW w:type="pct" w:w="16%"/>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iCs/>
                <w:color w:val="000000"/>
                <w:sz w:val="19"/>
                <w:szCs w:val="19"/>
              </w:rPr>
              <w:t xml:space="preserve">86.06</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VCD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79.51</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91.30</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85.41</w:t>
            </w:r>
          </w:p>
        </w:tc>
      </w:tr>
      <w:tr>
        <w:trPr>
          <w:cantSplit/>
        </w:trPr>
        <w:tc>
          <w:tcPr>
            <w:vMerge w:val="continue"/>
          </w:tcPr>
          <w:p/>
        </w:tc>
        <w:tc>
          <w:tcPr>
            <w:tcW w:type="pct" w:w="34%"/>
            <w:shd w:fill="F4F6F8" w:val="clear"/>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SID</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79.51</w:t>
            </w:r>
          </w:p>
        </w:tc>
        <w:tc>
          <w:tcPr>
            <w:tcW w:type="pct" w:w="15%"/>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94.20</w:t>
            </w:r>
          </w:p>
        </w:tc>
        <w:tc>
          <w:tcPr>
            <w:tcW w:type="pct" w:w="16%"/>
            <w:shd w:fill="F4F6F8" w:val="clear"/>
            <w:tcMar>
              <w:top w:type="dxa" w:w="70"/>
              <w:left w:type="dxa" w:w="120"/>
              <w:bottom w:type="dxa" w:w="70"/>
              <w:right w:type="dxa" w:w="120"/>
            </w:tcMar>
            <w:vAlign w:val="center"/>
          </w:tcPr>
          <w:p>
            <w:pPr>
              <w:spacing w:after="0" w:line="264"/>
              <w:jc w:val="right"/>
            </w:pPr>
            <w:r>
              <w:rPr>
                <w:rFonts w:ascii="Times New Roman" w:cs="Times New Roman" w:eastAsia="Times New Roman" w:hAnsi="Times New Roman"/>
                <w:b w:val="false"/>
                <w:bCs w:val="false"/>
                <w:i w:val="false"/>
                <w:iCs w:val="false"/>
                <w:color w:val="000000"/>
                <w:sz w:val="19"/>
                <w:szCs w:val="19"/>
              </w:rPr>
              <w:t xml:space="preserve">86.86</w:t>
            </w:r>
          </w:p>
        </w:tc>
      </w:tr>
    </w:tbl>
    <w:p>
      <w:pPr>
        <w:keepNext w:val="false"/>
        <w:spacing w:after="220" w:before="120" w:line="312"/>
        <w:jc w:val="both"/>
      </w:pPr>
      <w:r>
        <w:rPr>
          <w:rFonts w:ascii="Times New Roman" w:cs="Times New Roman" w:eastAsia="Times New Roman" w:hAnsi="Times New Roman"/>
          <w:b w:val="false"/>
          <w:bCs w:val="false"/>
          <w:i w:val="false"/>
          <w:iCs w:val="false"/>
          <w:color w:val="000000"/>
          <w:sz w:val="20"/>
          <w:szCs w:val="20"/>
        </w:rPr>
        <w:t xml:space="preserve">Table 1: Held-out results under five decoding regimes. EGCD uses the per-model threshold selected on the tuning half; VCD and SID are applied at every decoding step with the same α and β as CD+APC. † The greedy, CD+APC and EGCD rows for LLaVA-v1.6-Mistral-7B come from the earlier full-set run (re-run pending); its VCD and SID rows are evaluated on the same questions.</w:t>
      </w:r>
    </w:p>
    <w:p>
      <w:pPr>
        <w:pStyle w:val="Heading1"/>
        <w:spacing w:after="150" w:before="340" w:line="312"/>
      </w:pPr>
      <w:r>
        <w:rPr>
          <w:rFonts w:ascii="Times New Roman" w:cs="Times New Roman" w:eastAsia="Times New Roman" w:hAnsi="Times New Roman"/>
          <w:b/>
          <w:bCs/>
          <w:color w:val="111827"/>
          <w:sz w:val="27"/>
          <w:szCs w:val="27"/>
        </w:rPr>
        <w:t xml:space="preserve">3. Figures 2–7 — replacement files and captions</w:t>
      </w:r>
    </w:p>
    <w:p>
      <w:pPr>
        <w:keepNext w:val="false"/>
        <w:spacing w:after="140" w:before="0" w:line="312"/>
        <w:jc w:val="both"/>
      </w:pPr>
      <w:r>
        <w:rPr>
          <w:rFonts w:ascii="Times New Roman" w:cs="Times New Roman" w:eastAsia="Times New Roman" w:hAnsi="Times New Roman"/>
          <w:b w:val="false"/>
          <w:bCs w:val="false"/>
          <w:i w:val="false"/>
          <w:iCs w:val="false"/>
          <w:color w:val="000000"/>
          <w:sz w:val="22"/>
          <w:szCs w:val="22"/>
        </w:rPr>
        <w:t>The rebuilt figures are in download/figures_9th/ as 300-dpi PNGs (for review and reading drafts) with matching PDFs (vector, for camera-ready): Figures 2–7 plus the new appendix Figures A1, A2a and A2b. Drop each file into the slot of the same number; the visual language — palette, typography, spines, grid weight — is the one the draft's current figures already use, so no surrounding layout needs to change. Figure 1 is not part of this package and stays exactly as it is. The captions below supersede the current ones; they state the tuning-half basis of the sweep figures and the Mistral full-set caveat, which the current captions do not.</w:t>
      </w:r>
    </w:p>
    <w:tbl>
      <w:tblPr>
        <w:tblW w:type="pct" w:w="100%"/>
        <w:tblBorders>
          <w:top w:val="single" w:color="CBD5D1" w:sz="6"/>
          <w:left w:val="none"/>
          <w:bottom w:val="single" w:color="CBD5D1" w:sz="6"/>
          <w:right w:val="none"/>
          <w:insideH w:val="single" w:color="E2E8E6" w:sz="2"/>
          <w:insideV w:val="none"/>
        </w:tblBorders>
      </w:tblPr>
      <w:tblGrid>
        <w:gridCol w:w="100"/>
        <w:gridCol w:w="100"/>
        <w:gridCol w:w="100"/>
      </w:tblGrid>
      <w:tr>
        <w:trPr>
          <w:cantSplit/>
          <w:tblHeader/>
        </w:trPr>
        <w:tc>
          <w:tcPr>
            <w:tcW w:type="pct" w:w="13%"/>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Slot</w:t>
            </w:r>
          </w:p>
        </w:tc>
        <w:tc>
          <w:tcPr>
            <w:tcW w:type="pct" w:w="30%"/>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File</w:t>
            </w:r>
          </w:p>
        </w:tc>
        <w:tc>
          <w:tcPr>
            <w:tcW w:type="pct" w:w="57%"/>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What changed</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2</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fig2_line_models.png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Line chart: one curve per decoding regime across the seven models, ordered by EGCD's gain. Replaces the earlier grouped-bar and dot versions; no in-chart annotations.</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3</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fig3_delta_heatmap.png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Diverging heatmap of the balanced-accuracy change vs. greedy for the four methods; collapses glow coral, the EGCD column is outlined.</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4</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fig4_recall_spec_bias.png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Recall–specificity slopegraphs now for all seven models (2×4 grid; the eighth cell holds the legend). EGCD coincides with greedy wherever the gate does not fire.</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5</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fig5_sweeps_bias.png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Threshold sweeps for the four biased models on the tuning half (the selection record), starred operating point annotated with its τ* value; curve limits marked as the greedy and CD+APC convergences.</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6</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fig6_sweeps_sound.png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Same sweep for the sound models: Idefics2-8B (flat within a 0.7-point band) and LLaVA-1.5-7B (returns exactly to its baseline at τ*). Mistral-7B has no tuning-half sweep and is intentionally absent.</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7</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fig7_tau_robustness.png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Single-panel robustness view: gain over greedy vs. τ for six models, direct-labelled curves, stars at τ*. Replaces the earlier 2×3 duplicate of Figures 5–6.</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Appendix Fig. A1</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figA1_metrics_heatmap.png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New: the full held-out results table as three annotated heatmaps (Recall, Specificity, balanced accuracy); the EGCD column is outlined.</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Appendix Fig. A2a</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figA2a_sweep_heatmap.png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New: the Appendix A tuning-half sweep grid as a heatmap (darker = higher); dashed end columns mark the gate-always-on (CD+APC) and gate-off (greedy) limits.</w:t>
            </w:r>
          </w:p>
        </w:tc>
      </w:tr>
      <w:tr>
        <w:trPr>
          <w:cantSplit/>
        </w:trPr>
        <w:tc>
          <w:tcPr>
            <w:tcW w:type="pct" w:w="13%"/>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Appendix Fig. A2b</w:t>
            </w:r>
          </w:p>
        </w:tc>
        <w:tc>
          <w:tcPr>
            <w:tcW w:type="pct" w:w="30%"/>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figA2b_tau_star_gain.png / .pdf</w:t>
            </w:r>
          </w:p>
        </w:tc>
        <w:tc>
          <w:tcPr>
            <w:tcW w:type="pct" w:w="57%"/>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New: gain over greedy decoding at each model's selected threshold τ*, one lollipop per model.</w:t>
            </w:r>
          </w:p>
        </w:tc>
      </w:tr>
    </w:tbl>
    <w:p>
      <w:pPr>
        <w:keepNext/>
        <w:spacing w:after="90" w:before="240" w:line="312"/>
        <w:jc w:val="both"/>
      </w:pPr>
      <w:r>
        <w:rPr>
          <w:rFonts w:ascii="Times New Roman" w:cs="Times New Roman" w:eastAsia="Times New Roman" w:hAnsi="Times New Roman"/>
          <w:b/>
          <w:bCs/>
          <w:i w:val="false"/>
          <w:iCs w:val="false"/>
          <w:color w:val="000000"/>
          <w:sz w:val="21"/>
          <w:szCs w:val="21"/>
        </w:rPr>
        <w:t xml:space="preserve">Paste-ready captions</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Figure 2: </w:t>
      </w:r>
      <w:r>
        <w:rPr>
          <w:b w:val="0"/>
        </w:rPr>
        <w:t>Balanced accuracy on the held-out half for the seven evaluation models under greedy decoding, Universal CD+APC, VCD, SID, and EGCD. Models on the horizontal axis are ordered by EGCD's gain over greedy decoding; coinciding lines mark identical values. The greedy, CD+APC and EGCD values for LLaVA-v1.6-Mistral-7B come from the earlier full-set run (re-run pending); its VCD and SID values are evaluated on the same questions.</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Figure 3: </w:t>
      </w:r>
      <w:r>
        <w:rPr>
          <w:b w:val="0"/>
        </w:rPr>
        <w:t>Change in balanced accuracy relative to greedy decoding, per model and method. Universal CD+APC buys its gains on the biased architectures with a 10–14 point collapse on the sound ones; VCD and SID stay within roughly one point of the baseline everywhere; EGCD keeps the gains without the collapse. Rows are ordered by EGCD's gain. All values are held-out; the Mistral row comes from the earlier full-set run.</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Figure 4: </w:t>
      </w:r>
      <w:r>
        <w:rPr>
          <w:b w:val="0"/>
        </w:rPr>
        <w:t>Recall and Specificity on the held-out half for all seven models, one panel per model. Universal CD+APC reaches its recall by spending specificity — catastrophically so on LLaVA-1.5-7B — whereas EGCD recovers most of the recall at a fraction of the specificity cost. Wherever the entropy gate does not fire, EGCD's operating point coincides exactly with greedy decoding; on Qwen2-VL-2B the VCD, SID and greedy points also coincide. The LLaVA-v1.6-Mistral-7B panel uses the earlier full-set run (re-run pending).</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Figure 5: </w:t>
      </w:r>
      <w:r>
        <w:rPr>
          <w:b w:val="0"/>
        </w:rPr>
        <w:t>Balanced accuracy across the entropy-threshold sweep on the tuning half for the four bias-affected models. The starred point is the operating point selected on this half and evaluated on the held-out half in Table 1, annotated with its threshold value. As τ grows the gate fires on fewer queries and every curve converges to the greedy baseline; as τ shrinks the gate fires everywhere and the curve converges to universal CD+APC.</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Figure 6: </w:t>
      </w:r>
      <w:r>
        <w:rPr>
          <w:b w:val="0"/>
        </w:rPr>
        <w:t>The same sweep for the structurally sound models. Idefics2-8B stays within a 0.7-point band across the entire range, and LLaVA-1.5-7B returns exactly to its baseline at the selected threshold, with the gate firing on none of the held-out queries. LLaVA-v1.6-Mistral-7B is absent because no tuning-half sweep exists for it: its rows come from the earlier full-set run at the suite threshold, and it will join this figure once its re-run lands.</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Figure 7: </w:t>
      </w:r>
      <w:r>
        <w:rPr>
          <w:b w:val="0"/>
        </w:rPr>
        <w:t>Gain over greedy decoding across the entropy-threshold sweep on the tuning half for six of the seven models, one directly labelled curve per model; stars mark each model's selected threshold τ*. Every curve returns to zero as τ grows — where the gate no longer fires, EGCD is exactly greedy decoding. The complete grid is tabulated in Appendix A; LLaVA-v1.6-Mistral-7B is omitted for lack of a tuning-half sweep.</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Appendix Figure A1: </w:t>
      </w:r>
      <w:r>
        <w:rPr>
          <w:b w:val="0"/>
        </w:rPr>
        <w:t>The full held-out results table rendered as three heatmaps: Recall, Specificity and balanced accuracy for every model and decoding regime (rows: models; columns: methods; the outlined column is EGCD). Cell values are the held-out numbers of Table 1.</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Appendix Figure A2a: </w:t>
      </w:r>
      <w:r>
        <w:rPr>
          <w:b w:val="0"/>
        </w:rPr>
        <w:t>The complete tuning-half sweep grid of Appendix A as a heatmap; darker cells are higher balanced accuracy. The left dashed column is the gate-always-active limit — universal CD+APC — and the right dashed column is the gate-inactive limit, the greedy baseline. Numeric values are tabulated in Appendix A.</w:t>
      </w:r>
    </w:p>
    <w:p>
      <w:pPr>
        <w:keepNext w:val="false"/>
        <w:spacing w:after="130" w:before="0" w:line="312"/>
        <w:jc w:val="both"/>
      </w:pPr>
      <w:r>
        <w:rPr>
          <w:rFonts w:ascii="Times New Roman" w:cs="Times New Roman" w:eastAsia="Times New Roman" w:hAnsi="Times New Roman"/>
          <w:b/>
          <w:bCs/>
          <w:i w:val="false"/>
          <w:iCs w:val="false"/>
          <w:color w:val="000000"/>
          <w:sz w:val="20"/>
          <w:szCs w:val="20"/>
        </w:rPr>
        <w:t xml:space="preserve">Appendix Figure A2b: </w:t>
      </w:r>
      <w:r>
        <w:rPr>
          <w:b w:val="0"/>
        </w:rPr>
        <w:t>What the selected threshold buys: gain over greedy decoding at each model's τ* on the tuning half. The gate buys the most points exactly where hallucination bias is largest, and reduces to greedy decoding (zero gain) where the gate does not fire.</w:t>
      </w:r>
    </w:p>
    <w:p>
      <w:pPr>
        <w:pStyle w:val="Heading1"/>
        <w:spacing w:after="150" w:before="340" w:line="312"/>
      </w:pPr>
      <w:r>
        <w:rPr>
          <w:rFonts w:ascii="Times New Roman" w:cs="Times New Roman" w:eastAsia="Times New Roman" w:hAnsi="Times New Roman"/>
          <w:b/>
          <w:bCs/>
          <w:color w:val="111827"/>
          <w:sz w:val="27"/>
          <w:szCs w:val="27"/>
        </w:rPr>
        <w:t xml:space="preserve">4. Text edits</w:t>
      </w:r>
    </w:p>
    <w:p>
      <w:pPr>
        <w:keepNext w:val="false"/>
        <w:spacing w:after="140" w:before="0" w:line="312"/>
        <w:jc w:val="both"/>
      </w:pPr>
      <w:r>
        <w:rPr>
          <w:rFonts w:ascii="Times New Roman" w:cs="Times New Roman" w:eastAsia="Times New Roman" w:hAnsi="Times New Roman"/>
          <w:b w:val="false"/>
          <w:bCs w:val="false"/>
          <w:i w:val="false"/>
          <w:iCs w:val="false"/>
          <w:color w:val="000000"/>
          <w:sz w:val="22"/>
          <w:szCs w:val="22"/>
        </w:rPr>
        <w:t xml:space="preserve">Edits E1–E4 are the whole prose cost of the integration and should be applied regardless of the draft's current state; E5–E10 and the number table bring the remaining passages onto the held-out numbers — apply each only where the quoted old text is still present, and skip anything the draft has already absorbed. Quotations match the manuscript's phrasing; if a quote no longer matches exactly, search for its distinctive fragment.</w:t>
      </w:r>
    </w:p>
    <w:p>
      <w:pPr>
        <w:pStyle w:val="Heading2"/>
        <w:keepNext/>
        <w:spacing w:after="100" w:before="240" w:line="312"/>
      </w:pPr>
      <w:r>
        <w:rPr>
          <w:rFonts w:ascii="Times New Roman" w:cs="Times New Roman" w:eastAsia="Times New Roman" w:hAnsi="Times New Roman"/>
          <w:b/>
          <w:bCs/>
          <w:color w:val="111827"/>
          <w:sz w:val="23"/>
          <w:szCs w:val="23"/>
        </w:rPr>
        <w:t xml:space="preserve">4.1  Required for the VCD/SID integration</w:t>
      </w:r>
    </w:p>
    <w:p>
      <w:pPr>
        <w:pStyle w:val="Heading2"/>
        <w:keepNext/>
        <w:spacing w:after="100" w:before="240" w:line="312"/>
      </w:pPr>
      <w:r>
        <w:rPr>
          <w:rFonts w:ascii="Times New Roman" w:cs="Times New Roman" w:eastAsia="Times New Roman" w:hAnsi="Times New Roman"/>
          <w:b/>
          <w:bCs/>
          <w:color w:val="111827"/>
          <w:sz w:val="23"/>
          <w:szCs w:val="23"/>
        </w:rPr>
        <w:t xml:space="preserve">E1 — Section 4.4, the paragraph beginning “All runs are zero-shot”</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6B7280"/>
                <w:sz w:val="18"/>
                <w:szCs w:val="18"/>
              </w:rPr>
              <w:t xml:space="preserve">FIND</w:t>
            </w:r>
          </w:p>
        </w:tc>
        <w:tc>
          <w:tcPr>
            <w:tcW w:type="pct" w:w="84%"/>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iCs/>
                <w:color w:val="000000"/>
                <w:sz w:val="20"/>
                <w:szCs w:val="20"/>
              </w:rPr>
              <w:t xml:space="preserve">“The gate threshold is the one design choice that varies per model: we sweep over [0.550, 0.750] in steps of 0.01 and select the operating points, with the complete sweep reported in Appendix A. We compare three decoding regimes per model: the greedy baseline, universal CD+APC applied at every step, and EGCD.”</w:t>
            </w:r>
          </w:p>
        </w:tc>
      </w:tr>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REPLACE WITH</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The gate threshold is the one design choice that varies per model. We split the 1,664 relation pairs into a tuning half (831 pairs) and a held-out half (833 pairs), select the threshold on the tuning half over the grid [0.550, 0.750] in steps of 0.01, and report every number in this paper on the held-out half; the split is fixed and identical for all models. We compare five decoding regimes per model: the greedy baseline, universal CD+APC applied at every step, EGCD, and two published universal baselines, VCD and SID (Section 2.2), applied at every step with the same α and β.</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Names the five regimes once, where a methods section is expected to name them, and states the held-out protocol in the same breath. If your draft already carries a five-regime version of this paragraph, keep it — only make sure VCD and SID are named here with a pointer to Section 2.2. Adjust the citations to match your bibliography.</w:t>
      </w:r>
    </w:p>
    <w:p>
      <w:pPr>
        <w:pStyle w:val="Heading2"/>
        <w:keepNext/>
        <w:spacing w:after="100" w:before="240" w:line="312"/>
      </w:pPr>
      <w:r>
        <w:rPr>
          <w:rFonts w:ascii="Times New Roman" w:cs="Times New Roman" w:eastAsia="Times New Roman" w:hAnsi="Times New Roman"/>
          <w:b/>
          <w:bCs/>
          <w:color w:val="111827"/>
          <w:sz w:val="23"/>
          <w:szCs w:val="23"/>
        </w:rPr>
        <w:t xml:space="preserve">E2 — Section 5.1, first sentence of the results discussion</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6B7280"/>
                <w:sz w:val="18"/>
                <w:szCs w:val="18"/>
              </w:rPr>
              <w:t xml:space="preserve">FIND</w:t>
            </w:r>
          </w:p>
        </w:tc>
        <w:tc>
          <w:tcPr>
            <w:tcW w:type="pct" w:w="84%"/>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iCs/>
                <w:color w:val="000000"/>
                <w:sz w:val="20"/>
                <w:szCs w:val="20"/>
              </w:rPr>
              <w:t xml:space="preserve">“Table 1 summarizes the three decoding regimes.”</w:t>
            </w:r>
          </w:p>
        </w:tc>
      </w:tr>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REPLACE WITH</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Table 1 summarizes the five decoding regimes.</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One word; keeps the table introduction true.</w:t>
      </w:r>
    </w:p>
    <w:p>
      <w:pPr>
        <w:pStyle w:val="Heading2"/>
        <w:keepNext/>
        <w:spacing w:after="100" w:before="240" w:line="312"/>
      </w:pPr>
      <w:r>
        <w:rPr>
          <w:rFonts w:ascii="Times New Roman" w:cs="Times New Roman" w:eastAsia="Times New Roman" w:hAnsi="Times New Roman"/>
          <w:b/>
          <w:bCs/>
          <w:color w:val="111827"/>
          <w:sz w:val="23"/>
          <w:szCs w:val="23"/>
        </w:rPr>
        <w:t xml:space="preserve">E3 — Section 5.1, add at the very end of the main results paragraph (after the sentence about the LLaVA-1.5-7B collapse)</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INSERT</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The VCD and SID rows underline the same point from the outside. VCD, whose amateur is a noised image, is the strongest single method on SmolVLM2-2.2B (70.72, p = 0.032 over universal CD+APC), yet on Qwen2-VL-2B, where the headroom is largest, it does not change a single held-out answer; SID, whose amateur is the model's own shallow layer, stays within 0.7 points of the greedy baseline on every model with paired held-out data and flips no answer at all on Qwen2-VL-2B, Idefics2-8B, or LLaVA-1.5-7B. A universal amateur helps where its bias happens to match the model's failure mode and is inert where it does not; the gate is what ties the corrective pathway to the queries that need it.</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This is the entire prose cost of the integration: three sentences that read the new table rows through the paper's own amateur-gate argument. It replaces the earlier change list's subsection 5.5 and Figure 8 — delete those if your draft carries them. Note the wording is careful where the earlier list was not: SID is not “never below” the baseline (on Phi-3-Vision-4.2B it sits 0.38 points under it, well inside noise), and the one VCD win on SmolVLM2-2.2B is reported as it stands.</w:t>
      </w:r>
    </w:p>
    <w:p>
      <w:pPr>
        <w:pStyle w:val="Heading2"/>
        <w:keepNext/>
        <w:spacing w:after="100" w:before="240" w:line="312"/>
      </w:pPr>
      <w:r>
        <w:rPr>
          <w:rFonts w:ascii="Times New Roman" w:cs="Times New Roman" w:eastAsia="Times New Roman" w:hAnsi="Times New Roman"/>
          <w:b/>
          <w:bCs/>
          <w:color w:val="111827"/>
          <w:sz w:val="23"/>
          <w:szCs w:val="23"/>
        </w:rPr>
        <w:t xml:space="preserve">E4 — Section 2.2, closing sentence of the paragraph on the uniform CD recipe (optional but recommended)</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6B7280"/>
                <w:sz w:val="18"/>
                <w:szCs w:val="18"/>
              </w:rPr>
              <w:t xml:space="preserve">FIND</w:t>
            </w:r>
          </w:p>
        </w:tc>
        <w:tc>
          <w:tcPr>
            <w:tcW w:type="pct" w:w="84%"/>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iCs/>
                <w:color w:val="000000"/>
                <w:sz w:val="20"/>
                <w:szCs w:val="20"/>
              </w:rPr>
              <w:t xml:space="preserve">“Our own comparison (5.5) adds VCD and SID to this picture under one protocol, and it shows the damage and the dead spots depend on the amateur and on the model.”</w:t>
            </w:r>
          </w:p>
        </w:tc>
      </w:tr>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REPLACE WITH</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Section 5 evaluates both under one protocol and shows that the damage and the dead spots depend on the amateur and on the model.</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Closes the related-work loop without a cross-reference to a section that no longer exists. If your draft never gained the (5.5) sentence, add the replacement sentence as is.</w:t>
      </w:r>
    </w:p>
    <w:p>
      <w:pPr>
        <w:pStyle w:val="Heading2"/>
        <w:keepNext/>
        <w:spacing w:after="100" w:before="240" w:line="312"/>
      </w:pPr>
      <w:r>
        <w:rPr>
          <w:rFonts w:ascii="Times New Roman" w:cs="Times New Roman" w:eastAsia="Times New Roman" w:hAnsi="Times New Roman"/>
          <w:b/>
          <w:bCs/>
          <w:color w:val="111827"/>
          <w:sz w:val="23"/>
          <w:szCs w:val="23"/>
        </w:rPr>
        <w:t xml:space="preserve">4.2  Held-out number updates (skip where already applied)</w:t>
      </w:r>
    </w:p>
    <w:p>
      <w:pPr>
        <w:pStyle w:val="Heading2"/>
        <w:keepNext/>
        <w:spacing w:after="100" w:before="240" w:line="312"/>
      </w:pPr>
      <w:r>
        <w:rPr>
          <w:rFonts w:ascii="Times New Roman" w:cs="Times New Roman" w:eastAsia="Times New Roman" w:hAnsi="Times New Roman"/>
          <w:b/>
          <w:bCs/>
          <w:color w:val="111827"/>
          <w:sz w:val="23"/>
          <w:szCs w:val="23"/>
        </w:rPr>
        <w:t xml:space="preserve">E5 — Section 5.1, the Qwen2-VL-2B / Phi-3 gain sentence</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6B7280"/>
                <w:sz w:val="18"/>
                <w:szCs w:val="18"/>
              </w:rPr>
              <w:t xml:space="preserve">FIND</w:t>
            </w:r>
          </w:p>
        </w:tc>
        <w:tc>
          <w:tcPr>
            <w:tcW w:type="pct" w:w="84%"/>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iCs/>
                <w:color w:val="000000"/>
                <w:sz w:val="20"/>
                <w:szCs w:val="20"/>
              </w:rPr>
              <w:t xml:space="preserve">“On Qwen2-VL-2B, EGCD adds 8.02 points over greedy decoding and 2.73 over universal CD+APC; Phi-3-Vision-4.2B gains 7.96.”</w:t>
            </w:r>
          </w:p>
        </w:tc>
      </w:tr>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REPLACE WITH</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On Qwen2-VL-2B, EGCD adds 9.39 points over greedy decoding and 3.11 over universal CD+APC, the only gain over CD that survives a McNemar test on paired items (p = 0.002); Phi-3-Vision-4.2B gains 7.31, and on Phi-3-Vision-4.2B, SmolVLM2-2.2B and Idefics2-8B the gap to CD sits inside sampling noise (p &gt; 0.99).</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Answers blocking Concern 2 in the exact place where the over-claim lived. If the draft already states this, keep the existing sentence.</w:t>
      </w:r>
    </w:p>
    <w:p>
      <w:pPr>
        <w:pStyle w:val="Heading2"/>
        <w:keepNext/>
        <w:spacing w:after="100" w:before="240" w:line="312"/>
      </w:pPr>
      <w:r>
        <w:rPr>
          <w:rFonts w:ascii="Times New Roman" w:cs="Times New Roman" w:eastAsia="Times New Roman" w:hAnsi="Times New Roman"/>
          <w:b/>
          <w:bCs/>
          <w:color w:val="111827"/>
          <w:sz w:val="23"/>
          <w:szCs w:val="23"/>
        </w:rPr>
        <w:t xml:space="preserve">E6 — Section 5.2, the “trade-off” sentence</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6B7280"/>
                <w:sz w:val="18"/>
                <w:szCs w:val="18"/>
              </w:rPr>
              <w:t xml:space="preserve">FIND</w:t>
            </w:r>
          </w:p>
        </w:tc>
        <w:tc>
          <w:tcPr>
            <w:tcW w:type="pct" w:w="84%"/>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iCs/>
                <w:color w:val="000000"/>
                <w:sz w:val="20"/>
                <w:szCs w:val="20"/>
              </w:rPr>
              <w:t xml:space="preserve">“The entropy gate breaks the trade-off instead of moving it. At τ = 0.700, Qwen2-VL-2B reaches 79.45% balanced accuracy, with Recall at 73.85% and Specificity at 85.05%. SmolVLM2 peaks at τ = 0.670 with 67.55%,”</w:t>
            </w:r>
          </w:p>
        </w:tc>
      </w:tr>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REPLACE WITH</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The gate makes the recall–specificity trade less costly rather than removing it. At the selected threshold, Qwen2-VL-2B reaches 80.89% balanced accuracy, with Recall at 75.41% and Specificity at 86.38%: Recall ends up about a point short of universal CD (76.43%) while Specificity falls far less (CD drops to 79.13%). SmolVLM2 peaks at its threshold with 68.07%,</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Aligns the claim with what the held-out numbers support (review, Claim A): a more favourable trade, not the absence of one. Skip if already applied in equivalent words.</w:t>
      </w:r>
    </w:p>
    <w:p>
      <w:pPr>
        <w:pStyle w:val="Heading2"/>
        <w:keepNext/>
        <w:spacing w:after="100" w:before="240" w:line="312"/>
      </w:pPr>
      <w:r>
        <w:rPr>
          <w:rFonts w:ascii="Times New Roman" w:cs="Times New Roman" w:eastAsia="Times New Roman" w:hAnsi="Times New Roman"/>
          <w:b/>
          <w:bCs/>
          <w:color w:val="111827"/>
          <w:sz w:val="23"/>
          <w:szCs w:val="23"/>
        </w:rPr>
        <w:t xml:space="preserve">E7 — Section 5.3, the preservation sentence</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6B7280"/>
                <w:sz w:val="18"/>
                <w:szCs w:val="18"/>
              </w:rPr>
              <w:t xml:space="preserve">FIND</w:t>
            </w:r>
          </w:p>
        </w:tc>
        <w:tc>
          <w:tcPr>
            <w:tcW w:type="pct" w:w="84%"/>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iCs/>
                <w:color w:val="000000"/>
                <w:sz w:val="20"/>
                <w:szCs w:val="20"/>
              </w:rPr>
              <w:t xml:space="preserve">“EGCD preserves 76.17% on LLaVA-1.5-7B and 86.06% on LLaVA-v1.6-Mistral-7B, identical to greedy decoding.”</w:t>
            </w:r>
          </w:p>
        </w:tc>
      </w:tr>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REPLACE WITH</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EGCD preserves 76.78% on LLaVA-1.5-7B, identical to greedy decoding; the Mistral row in Table 1 keeps its earlier full-set numbers until its re-run.</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Keeps the Mistral caveat where the reader needs it instead of burying it.</w:t>
      </w:r>
    </w:p>
    <w:p>
      <w:pPr>
        <w:pStyle w:val="Heading2"/>
        <w:keepNext/>
        <w:spacing w:after="100" w:before="240" w:line="312"/>
      </w:pPr>
      <w:r>
        <w:rPr>
          <w:rFonts w:ascii="Times New Roman" w:cs="Times New Roman" w:eastAsia="Times New Roman" w:hAnsi="Times New Roman"/>
          <w:b/>
          <w:bCs/>
          <w:color w:val="111827"/>
          <w:sz w:val="23"/>
          <w:szCs w:val="23"/>
        </w:rPr>
        <w:t xml:space="preserve">E8 — Section 5.4, add at the end of the section (activation-rate paragraph)</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INSERT</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The gate routes 40.9% of held-out queries on Qwen2-VL-2B, 38.8% on Phi-3-Vision-4.2B, 28.2% on SmolVLM2-2.2B, 13.2% on Qwen2.5-VL-7B, 2.2% on Idefics2-8B and none on LLaVA-1.5-7B. Shuffled routing at the same rate recovers only part of the gain (64.96 against 68.07 on SmolVLM2-2.2B, 74.04 against 80.89 on Qwen2-VL-2B, 72.97 against 77.50 on Phi-3-Vision-4.2B), so most of the improvement comes from choosing the right queries rather than from intervening often.</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Answers Concerns 4 and 5 (random-gating control and the never-reported activation rate) in five lines. Skip if already present.</w:t>
      </w:r>
    </w:p>
    <w:p>
      <w:pPr>
        <w:pStyle w:val="Heading2"/>
        <w:keepNext/>
        <w:spacing w:after="100" w:before="240" w:line="312"/>
      </w:pPr>
      <w:r>
        <w:rPr>
          <w:rFonts w:ascii="Times New Roman" w:cs="Times New Roman" w:eastAsia="Times New Roman" w:hAnsi="Times New Roman"/>
          <w:b/>
          <w:bCs/>
          <w:color w:val="111827"/>
          <w:sz w:val="23"/>
          <w:szCs w:val="23"/>
        </w:rPr>
        <w:t xml:space="preserve">E9 — Section 6.2 (Limitations), after “which may sit away from the peak on an unseen model.”</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INSERT</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One shared threshold for the whole suite keeps most of the gains on the biased models but costs the stand-down on LLaVA-1.5-7B, where a suite-wide τ = 0.69 drops balanced accuracy to 73.19 against the 76.78 baseline.</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Pre-empts the obvious “why not one τ for everyone” question with the number already in hand. Skip if already present.</w:t>
      </w:r>
    </w:p>
    <w:p>
      <w:pPr>
        <w:pStyle w:val="Heading2"/>
        <w:keepNext/>
        <w:spacing w:after="100" w:before="240" w:line="312"/>
      </w:pPr>
      <w:r>
        <w:rPr>
          <w:rFonts w:ascii="Times New Roman" w:cs="Times New Roman" w:eastAsia="Times New Roman" w:hAnsi="Times New Roman"/>
          <w:b/>
          <w:bCs/>
          <w:color w:val="111827"/>
          <w:sz w:val="23"/>
          <w:szCs w:val="23"/>
        </w:rPr>
        <w:t xml:space="preserve">E10 — Contribution 1, first bullet of the Introduction</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rPr>
        <w:tc>
          <w:tcPr>
            <w:tcW w:type="pct" w:w="16%"/>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6B7280"/>
                <w:sz w:val="18"/>
                <w:szCs w:val="18"/>
              </w:rPr>
              <w:t xml:space="preserve">FIND</w:t>
            </w:r>
          </w:p>
        </w:tc>
        <w:tc>
          <w:tcPr>
            <w:tcW w:type="pct" w:w="84%"/>
            <w:shd w:fill="F6F5F4"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iCs/>
                <w:color w:val="000000"/>
                <w:sz w:val="20"/>
                <w:szCs w:val="20"/>
              </w:rPr>
              <w:t xml:space="preserve">“A characterization of Visual Inertia as an attention-stagnation bottleneck that unfolds over the course of autoregressive decoding: cross-attention settles on early salient objects, grounding decays, and language priors complete the answer. The characterization separates this failure from perceptual existence errors and motivates intervention at decoding time.”</w:t>
            </w:r>
          </w:p>
        </w:tc>
      </w:tr>
      <w:tr>
        <w:trPr>
          <w:cantSplit/>
        </w:trPr>
        <w:tc>
          <w:tcPr>
            <w:tcW w:type="pct" w:w="16%"/>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A7D6E"/>
                <w:sz w:val="18"/>
                <w:szCs w:val="18"/>
              </w:rPr>
              <w:t xml:space="preserve">REPLACE WITH</w:t>
            </w:r>
          </w:p>
        </w:tc>
        <w:tc>
          <w:tcPr>
            <w:tcW w:type="pct" w:w="84%"/>
            <w:shd w:fill="EAF5F2"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 operationalization of Visual Inertia (Gong et al., 2026) as a decoding-time signal. We take their attention-stagnation account and reduce it to a measurable probe: the first-token distribution, where entropy separates correct from incorrect answers on every model with per-item data (AUC 0.62 to 0.75). This is what motivates intervention at decoding time.</w:t>
            </w:r>
          </w:p>
        </w:tc>
      </w:tr>
    </w:tbl>
    <w:p>
      <w:pPr>
        <w:keepNext w:val="false"/>
        <w:spacing w:after="200" w:before="0" w:line="312"/>
        <w:jc w:val="both"/>
      </w:pPr>
      <w:r>
        <w:rPr>
          <w:rFonts w:ascii="Times New Roman" w:cs="Times New Roman" w:eastAsia="Times New Roman" w:hAnsi="Times New Roman"/>
          <w:b/>
          <w:bCs/>
          <w:i w:val="false"/>
          <w:iCs w:val="false"/>
          <w:color w:val="6B7280"/>
          <w:sz w:val="19"/>
          <w:szCs w:val="19"/>
        </w:rPr>
        <w:t xml:space="preserve">Why: </w:t>
      </w:r>
      <w:r>
        <w:rPr>
          <w:rFonts w:ascii="Times New Roman" w:cs="Times New Roman" w:eastAsia="Times New Roman" w:hAnsi="Times New Roman"/>
          <w:b w:val="false"/>
          <w:bCs w:val="false"/>
          <w:i/>
          <w:iCs/>
          <w:color w:val="6B7280"/>
          <w:sz w:val="19"/>
          <w:szCs w:val="19"/>
        </w:rPr>
        <w:t xml:space="preserve">Delivers Contribution 1 honestly (Concern 7): the characterisation is adopted and instrumented, not established here. The AUC range 0.62–0.75 covers the five held-out models; the earlier list's “0.82” belonged to an optional model outside the paper's seven.</w:t>
      </w:r>
    </w:p>
    <w:p>
      <w:pPr>
        <w:keepNext/>
        <w:spacing w:after="90" w:before="160" w:line="312"/>
        <w:jc w:val="both"/>
      </w:pPr>
      <w:r>
        <w:rPr>
          <w:rFonts w:ascii="Times New Roman" w:cs="Times New Roman" w:eastAsia="Times New Roman" w:hAnsi="Times New Roman"/>
          <w:b/>
          <w:bCs/>
          <w:i w:val="false"/>
          <w:iCs w:val="false"/>
          <w:color w:val="000000"/>
          <w:sz w:val="21"/>
          <w:szCs w:val="21"/>
        </w:rPr>
        <w:t xml:space="preserve">Pure number swaps and one-line replacements</w:t>
      </w:r>
    </w:p>
    <w:tbl>
      <w:tblPr>
        <w:tblW w:type="pct" w:w="100%"/>
        <w:tblBorders>
          <w:top w:val="single" w:color="CBD5D1" w:sz="6"/>
          <w:left w:val="none"/>
          <w:bottom w:val="single" w:color="CBD5D1" w:sz="6"/>
          <w:right w:val="none"/>
          <w:insideH w:val="single" w:color="E2E8E6" w:sz="2"/>
          <w:insideV w:val="none"/>
        </w:tblBorders>
      </w:tblPr>
      <w:tblGrid>
        <w:gridCol w:w="100"/>
        <w:gridCol w:w="100"/>
        <w:gridCol w:w="100"/>
      </w:tblGrid>
      <w:tr>
        <w:trPr>
          <w:cantSplit/>
          <w:tblHeader/>
        </w:trPr>
        <w:tc>
          <w:tcPr>
            <w:tcW w:type="pct" w:w="16%"/>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Location</w:t>
            </w:r>
          </w:p>
        </w:tc>
        <w:tc>
          <w:tcPr>
            <w:tcW w:type="pct" w:w="42%"/>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Search for</w:t>
            </w:r>
          </w:p>
        </w:tc>
        <w:tc>
          <w:tcPr>
            <w:tcW w:type="pct" w:w="42%"/>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Replace with</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Abstract</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Qwen2-VL-2B from 71.43% to 79.45% balanced accuracy</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Qwen2-VL-2B from 71.50% to 80.89% balanced accuracy</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Abstract</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Phi-3-Vision-4.2B from 69.33% to 77.29%</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Phi-3-Vision-4.2B from 70.18% to 77.50%</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Abstract</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SmolVLM2-2.2B from 63.73% to 67.55%</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SmolVLM2-2.2B from 63.80% to 68.07%</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Abstract</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collapses balanced accuracy to 62.11%</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collapses balanced accuracy to 63.06%</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Abstract</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 training-free inference framework that decides per query</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 training-free inference framework, calibrated once per model on a small tuning split, that decides per query</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Abstract</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On 1,664 binary relation questions from AMBER, across seven open-weight models</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On 1,664 binary relation questions from AMBER, with the threshold picked on a tuning split and every result reported on the held-out half, we evaluate seven open-weight models</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5.1</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the 62.11% collapse inflicted by universal contrastive decoding</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the 63.06% collapse inflicted by universal contrastive decoding</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5.1</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EGCD never lands below its baseline.</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On the held-out split EGCD never falls below its baseline, and it matches universal CD+APC wherever CD helps.</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5.2</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baseline recalls of 33.13% and 48.82%</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baseline recalls of 33.40% and 49.39%</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5.2</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Recall climbs to 75.79%</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Recall climbs to 76.43%</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5.2</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Specificity falls from 94.05% to 77.65%</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Specificity falls from 93.62% to 79.13%</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5.2</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(τ* = 0.70, 0.62, 0.67, and 0.65 for Qwen2-VL-2B, Phi-3-Vision-4.2B, SmolVLM2-2.2B, and Qwen2.5-VL-7B)</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(τ* = 0.70, 0.62, 0.68, and 0.65 for the same four models in that order)</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5.2</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The peaks differ in sharpness: two grid steps off τ* costs Qwen2-VL-2B 2.23 points, while Phi-3-Vision-4.2B, SmolVLM2-2.2B, and Qwen2.5-VL-7B each lose less than half a point over the same window.</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(delete the sentence — it described the old full-set sweep, and the tuning-half sweep in Figure 5 is what the paper now shows)</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5.3</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falls to 62.11% with Recall dropping to 28.00%</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falls to 63.06% with Recall dropping to 29.30%</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5.3</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Idefics2-8B stays within [81.97%, 82.42%] across the entire range and yields a marginal gain of +0.15% at τ* = 0.69, while both LLaVA models return the baseline exactly for τ ≥ 0.70.</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Idefics2-8B stays within a 0.7-point band across the entire range and does not differ from either regime (p &gt; 0.99), and LLaVA-1.5-7B returns its baseline exactly.</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5.4</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climbs from 77.01% at τ = 0.550 to its 79.45% peak at τ = 0.700</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climbs to its peak at the selected threshold, which Table 1 evaluates on the held-out half</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5.4</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toward the 71.43% baseline</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toward the 71.50% baseline</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5.4</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Idefics2-8B never leaves the 81.97% to 82.42% band anywhere in the sweep (Figure 6)</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Idefics2-8B never leaves a 0.7-point band anywhere in the sweep (Figure 6)</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5.4</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7 maps the full sweep, τ ∈ [0.550, 0.750], for all seven models, and the complete numbers sit in Appendix A.</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7 maps the full sweep for six of the seven models (the Mistral panel follows with its re-run), and the complete numbers sit in Appendix A.</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Contribution 3</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up to 8.02 points on biased architectures</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up to 9.39 points on biased architectures</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Contribution 3</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avoiding the 10-point collapse</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avoiding the 13.7-point collapse</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6.1</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Qwen2-VL-2B by 8.02 points and Phi-3-Vision-4.2B by 7.96</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Qwen2-VL-2B by 9.39 points and Phi-3-Vision-4.2B by 7.31</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6.1</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 had pushed LLaVA-1.5-7B down to 62.11%</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universal CD had pushed LLaVA-1.5-7B down to 63.06%</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Section 6.1</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EGCD handed back its 76.17% baseline unchanged</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EGCD handed back its 76.78% baseline unchanged</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Appendix A, intro</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the balanced accuracy of the full entropy-threshold sweep, τ ∈ [0.550, 0.750] in steps of 0.01, for all seven evaluated models</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the balanced accuracy of the entropy-threshold sweep on the tuning half; it is the selection record, and every number in the paper comes from the held-out half. Six of the seven models are listed; the Mistral column follows with its re-run</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Appendix A, table</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old full-set sweep values for seven models</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regenerate from appendixA_tuning_sweep_6models.csv (21 rows × 6 models, Mistral dropped)</w:t>
            </w:r>
          </w:p>
        </w:tc>
      </w:tr>
      <w:tr>
        <w:trPr>
          <w:cantSplit/>
        </w:trPr>
        <w:tc>
          <w:tcPr>
            <w:tcW w:type="pct" w:w="1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Appendix A, caption</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Table A1: Balanced accuracy (%) across the full entropy-threshold sweep for all seven models.</w:t>
            </w:r>
          </w:p>
        </w:tc>
        <w:tc>
          <w:tcPr>
            <w:tcW w:type="pct" w:w="42%"/>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Table A1: Balanced accuracy (%) across the entropy-threshold sweep on the tuning half; each model's peak here is the operating point evaluated on the held-out half.</w:t>
            </w:r>
          </w:p>
        </w:tc>
      </w:tr>
    </w:tbl>
    <w:p>
      <w:pPr>
        <w:keepNext w:val="false"/>
        <w:spacing w:after="60" w:before="0" w:line="312"/>
        <w:jc w:val="both"/>
      </w:pPr>
      <w:r>
        <w:rPr>
          <w:rFonts w:ascii="Times New Roman" w:cs="Times New Roman" w:eastAsia="Times New Roman" w:hAnsi="Times New Roman"/>
          <w:b w:val="false"/>
          <w:bCs w:val="false"/>
          <w:i w:val="false"/>
          <w:iCs w:val="false"/>
          <w:color w:val="000000"/>
          <w:sz w:val="22"/>
          <w:szCs w:val="22"/>
        </w:rPr>
        <w:t xml:space="preserve"/>
      </w:r>
    </w:p>
    <w:p>
      <w:pPr>
        <w:pStyle w:val="Heading1"/>
        <w:spacing w:after="150" w:before="340" w:line="312"/>
      </w:pPr>
      <w:r>
        <w:rPr>
          <w:rFonts w:ascii="Times New Roman" w:cs="Times New Roman" w:eastAsia="Times New Roman" w:hAnsi="Times New Roman"/>
          <w:b/>
          <w:bCs/>
          <w:color w:val="111827"/>
          <w:sz w:val="27"/>
          <w:szCs w:val="27"/>
        </w:rPr>
        <w:t xml:space="preserve">5. Deliberately unchanged</w:t>
      </w:r>
    </w:p>
    <w:p>
      <w:pPr>
        <w:keepNext w:val="false"/>
        <w:spacing w:after="140" w:before="0" w:line="312"/>
        <w:jc w:val="both"/>
      </w:pPr>
      <w:r>
        <w:rPr>
          <w:rFonts w:ascii="Times New Roman" w:cs="Times New Roman" w:eastAsia="Times New Roman" w:hAnsi="Times New Roman"/>
          <w:b w:val="false"/>
          <w:bCs w:val="false"/>
          <w:i w:val="false"/>
          <w:iCs w:val="false"/>
          <w:color w:val="000000"/>
          <w:sz w:val="22"/>
          <w:szCs w:val="22"/>
        </w:rPr>
        <w:t xml:space="preserve">Four things stay as they are, each for a stated reason. They are listed so that a pass through the draft does not accidentally “fix” them.</w:t>
      </w:r>
    </w:p>
    <w:tbl>
      <w:tblPr>
        <w:tblW w:type="pct" w:w="100%"/>
        <w:tblBorders>
          <w:top w:val="single" w:color="CBD5D1" w:sz="6"/>
          <w:left w:val="none"/>
          <w:bottom w:val="single" w:color="CBD5D1" w:sz="6"/>
          <w:right w:val="none"/>
          <w:insideH w:val="single" w:color="E2E8E6" w:sz="2"/>
          <w:insideV w:val="none"/>
        </w:tblBorders>
      </w:tblPr>
      <w:tblGrid>
        <w:gridCol w:w="100"/>
        <w:gridCol w:w="100"/>
      </w:tblGrid>
      <w:tr>
        <w:trPr>
          <w:cantSplit/>
          <w:tblHeader/>
        </w:trPr>
        <w:tc>
          <w:tcPr>
            <w:tcW w:type="pct" w:w="34%"/>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Item</w:t>
            </w:r>
          </w:p>
        </w:tc>
        <w:tc>
          <w:tcPr>
            <w:tcW w:type="pct" w:w="66%"/>
            <w:shd w:fill="EEF2F1" w:val="clear"/>
            <w:tcMar>
              <w:top w:type="dxa" w:w="70"/>
              <w:left w:type="dxa" w:w="120"/>
              <w:bottom w:type="dxa" w:w="70"/>
              <w:right w:type="dxa" w:w="120"/>
            </w:tcMar>
            <w:vAlign w:val="center"/>
          </w:tcPr>
          <w:p>
            <w:pPr>
              <w:spacing w:after="0" w:line="276"/>
              <w:jc w:val="left"/>
            </w:pPr>
            <w:r>
              <w:rPr>
                <w:rFonts w:ascii="Times New Roman" w:cs="Times New Roman" w:eastAsia="Times New Roman" w:hAnsi="Times New Roman"/>
                <w:b/>
                <w:bCs/>
                <w:i w:val="false"/>
                <w:iCs w:val="false"/>
                <w:color w:val="000000"/>
                <w:sz w:val="20"/>
                <w:szCs w:val="20"/>
              </w:rPr>
              <w:t xml:space="preserve">Why it stays</w:t>
            </w:r>
          </w:p>
        </w:tc>
      </w:tr>
      <w:tr>
        <w:trPr>
          <w:cantSplit/>
        </w:trPr>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Figure 1 (method overview)</w:t>
            </w:r>
          </w:p>
        </w:tc>
        <w:tc>
          <w:tcPr>
            <w:tcW w:type="pct" w:w="6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Untouched by design. The integration only concerns results assets; the overview carries no numbers that moved.</w:t>
            </w:r>
          </w:p>
        </w:tc>
      </w:tr>
      <w:tr>
        <w:trPr>
          <w:cantSplit/>
        </w:trPr>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Mistral rows in Table 1, and the “74.26% / 78.36%” recalls in Section 5.3</w:t>
            </w:r>
          </w:p>
        </w:tc>
        <w:tc>
          <w:tcPr>
            <w:tcW w:type="pct" w:w="6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Old full-set values kept on purpose — no per-item data exists for Mistral, so a held-out recompute is impossible until the re-run. The dagger marks them as provisional.</w:t>
            </w:r>
          </w:p>
        </w:tc>
      </w:tr>
      <w:tr>
        <w:trPr>
          <w:cantSplit/>
        </w:trPr>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Subsection 5.5 and Figure 8</w:t>
            </w:r>
          </w:p>
        </w:tc>
        <w:tc>
          <w:tcPr>
            <w:tcW w:type="pct" w:w="6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Not created — or deleted, if your draft already gained them. Their entire content is carried by the Table 1 rows, Figures 2–3, and edit E3, with no cross-references left to maintain.</w:t>
            </w:r>
          </w:p>
        </w:tc>
      </w:tr>
      <w:tr>
        <w:trPr>
          <w:cantSplit/>
        </w:trPr>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InternVL3-2B and MiniCPM-V-4.6</w:t>
            </w:r>
          </w:p>
        </w:tc>
        <w:tc>
          <w:tcPr>
            <w:tcW w:type="pct" w:w="6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The results archive lists them as optional additions, but they carry no VCD/SID runs; adding them would put a three-regime table inside a five-regime paper. Leave out, or hold for the re-run batch.</w:t>
            </w:r>
          </w:p>
        </w:tc>
      </w:tr>
      <w:tr>
        <w:trPr>
          <w:cantSplit/>
        </w:trPr>
        <w:tc>
          <w:tcPr>
            <w:tcW w:type="pct" w:w="34%"/>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Reference list</w:t>
            </w:r>
          </w:p>
        </w:tc>
        <w:tc>
          <w:tcPr>
            <w:tcW w:type="pct" w:w="66%"/>
            <w:tcMar>
              <w:top w:type="dxa" w:w="70"/>
              <w:left w:type="dxa" w:w="120"/>
              <w:bottom w:type="dxa" w:w="70"/>
              <w:right w:type="dxa" w:w="120"/>
            </w:tcMar>
            <w:vAlign w:val="center"/>
          </w:tcPr>
          <w:p>
            <w:pPr>
              <w:spacing w:after="0" w:line="264"/>
              <w:jc w:val="left"/>
            </w:pPr>
            <w:r>
              <w:rPr>
                <w:rFonts w:ascii="Times New Roman" w:cs="Times New Roman" w:eastAsia="Times New Roman" w:hAnsi="Times New Roman"/>
                <w:b w:val="false"/>
                <w:bCs w:val="false"/>
                <w:i w:val="false"/>
                <w:iCs w:val="false"/>
                <w:color w:val="000000"/>
                <w:sz w:val="19"/>
                <w:szCs w:val="19"/>
              </w:rPr>
              <w:t xml:space="preserve">No new entries are needed provided VCD and SID are already cited in Section 2.2, which the draft's structure implies. If not, add the two citations there and point E1's “(Section 2.2)” at them.</w:t>
            </w:r>
          </w:p>
        </w:tc>
      </w:tr>
    </w:tbl>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2026-09-12T10:25:52.937Z</dcterms:created>
  <dcterms:modified xsi:type="dcterms:W3CDTF">2026-09-12T10:25:52.937Z</dcterms:modified>
</cp:coreProperties>
</file>

<file path=docProps/custom.xml><?xml version="1.0" encoding="utf-8"?>
<Properties xmlns="http://schemas.openxmlformats.org/officeDocument/2006/custom-properties" xmlns:vt="http://schemas.openxmlformats.org/officeDocument/2006/docPropsVTypes"/>
</file>