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0F9D8F"/>
          <w:sz w:val="40"/>
        </w:rPr>
        <w:t>EGCD Paper — Review Report v2</w:t>
      </w:r>
    </w:p>
    <w:p>
      <w:r>
        <w:rPr>
          <w:i/>
          <w:color w:val="6B7280"/>
          <w:sz w:val="20"/>
        </w:rPr>
        <w:t>Consolidated fix list for 11th_draft.docx @ res-con/main — your six new findings plus the four mandatory fixes from report.docx, merged into one apply list. Every FIND string was verified against the live file and occurs exactly once. Your exclusions are respected: no Mistral basis language anywhere, no formatting review.</w:t>
      </w:r>
    </w:p>
    <w:p>
      <w:pPr>
        <w:pStyle w:val="Heading1"/>
        <w:spacing w:before="280" w:after="80"/>
      </w:pPr>
      <w:r>
        <w:rPr>
          <w:rFonts w:ascii="Calibri" w:hAnsi="Calibri"/>
          <w:color w:val="0F9D8F"/>
          <w:sz w:val="30"/>
        </w:rPr>
        <w:t>1. Verdicts on your six findings, up front</w:t>
      </w:r>
    </w:p>
    <w:tbl>
      <w:tblPr>
        <w:tblStyle w:val="TableGrid"/>
        <w:tblW w:type="auto" w:w="0"/>
        <w:jc w:val="center"/>
        <w:tblLook w:firstColumn="1" w:firstRow="1" w:lastColumn="0" w:lastRow="0" w:noHBand="0" w:noVBand="1" w:val="04A0"/>
        <w:tblCellMar>
          <w:top w:w="45" w:type="dxa"/>
          <w:left w:w="90" w:type="dxa"/>
          <w:bottom w:w="45" w:type="dxa"/>
          <w:right w:w="90" w:type="dxa"/>
        </w:tblCellMar>
      </w:tblPr>
      <w:tblGrid>
        <w:gridCol w:w="3216"/>
        <w:gridCol w:w="3216"/>
        <w:gridCol w:w="3216"/>
      </w:tblGrid>
      <w:tr>
        <w:trPr>
          <w:tblHeader w:val="true"/>
          <w:cantSplit/>
        </w:trPr>
        <w:tc>
          <w:tcPr>
            <w:tcW w:type="dxa" w:w="3744"/>
            <w:shd w:val="clear" w:fill="EDF2F7"/>
          </w:tcPr>
          <w:p>
            <w:r/>
            <w:r>
              <w:rPr>
                <w:b/>
                <w:sz w:val="19"/>
              </w:rPr>
              <w:t>Your finding</w:t>
            </w:r>
          </w:p>
        </w:tc>
        <w:tc>
          <w:tcPr>
            <w:tcW w:type="dxa" w:w="4896"/>
            <w:shd w:val="clear" w:fill="EDF2F7"/>
          </w:tcPr>
          <w:p>
            <w:r/>
            <w:r>
              <w:rPr>
                <w:b/>
                <w:sz w:val="19"/>
              </w:rPr>
              <w:t>Verdict</w:t>
            </w:r>
          </w:p>
        </w:tc>
        <w:tc>
          <w:tcPr>
            <w:tcW w:type="dxa" w:w="1008"/>
            <w:shd w:val="clear" w:fill="EDF2F7"/>
          </w:tcPr>
          <w:p>
            <w:r/>
            <w:r>
              <w:rPr>
                <w:b/>
                <w:sz w:val="19"/>
              </w:rPr>
              <w:t>Fix</w:t>
            </w:r>
          </w:p>
        </w:tc>
      </w:tr>
      <w:tr>
        <w:trPr>
          <w:cantSplit/>
        </w:trPr>
        <w:tc>
          <w:tcPr>
            <w:tcW w:type="dxa" w:w="3744"/>
          </w:tcPr>
          <w:p>
            <w:r/>
            <w:r>
              <w:rPr>
                <w:sz w:val="19"/>
              </w:rPr>
              <w:t>Abstract: “we call this mechanism Visual Inertia”</w:t>
            </w:r>
          </w:p>
        </w:tc>
        <w:tc>
          <w:tcPr>
            <w:tcW w:type="dxa" w:w="4896"/>
          </w:tcPr>
          <w:p>
            <w:r/>
            <w:r>
              <w:rPr>
                <w:sz w:val="19"/>
              </w:rPr>
              <w:t>Real problem — the term is Gong et al. (2026)'s; your own §2.1 credits them. Reword.</w:t>
            </w:r>
          </w:p>
        </w:tc>
        <w:tc>
          <w:tcPr>
            <w:tcW w:type="dxa" w:w="1008"/>
          </w:tcPr>
          <w:p>
            <w:r/>
            <w:r>
              <w:rPr>
                <w:sz w:val="19"/>
              </w:rPr>
              <w:t>N2</w:t>
            </w:r>
          </w:p>
        </w:tc>
      </w:tr>
      <w:tr>
        <w:trPr>
          <w:cantSplit/>
        </w:trPr>
        <w:tc>
          <w:tcPr>
            <w:tcW w:type="dxa" w:w="3744"/>
          </w:tcPr>
          <w:p>
            <w:r/>
            <w:r>
              <w:rPr>
                <w:sz w:val="19"/>
              </w:rPr>
              <w:t>Equation: comma after yᵧ, then |, then comma again</w:t>
            </w:r>
          </w:p>
        </w:tc>
        <w:tc>
          <w:tcPr>
            <w:tcW w:type="dxa" w:w="4896"/>
          </w:tcPr>
          <w:p>
            <w:r/>
            <w:r>
              <w:rPr>
                <w:sz w:val="19"/>
              </w:rPr>
              <w:t>Real typo. The bar already separates outcome from conditions; commas belong only between Xᵥ, Xₜ, Y&lt;ₜ.</w:t>
            </w:r>
          </w:p>
        </w:tc>
        <w:tc>
          <w:tcPr>
            <w:tcW w:type="dxa" w:w="1008"/>
          </w:tcPr>
          <w:p>
            <w:r/>
            <w:r>
              <w:rPr>
                <w:sz w:val="19"/>
              </w:rPr>
              <w:t>N3</w:t>
            </w:r>
          </w:p>
        </w:tc>
      </w:tr>
      <w:tr>
        <w:trPr>
          <w:cantSplit/>
        </w:trPr>
        <w:tc>
          <w:tcPr>
            <w:tcW w:type="dxa" w:w="3744"/>
          </w:tcPr>
          <w:p>
            <w:r/>
            <w:r>
              <w:rPr>
                <w:sz w:val="19"/>
              </w:rPr>
              <w:t>“Since when VCD and SID became universal baselines?”</w:t>
            </w:r>
          </w:p>
        </w:tc>
        <w:tc>
          <w:tcPr>
            <w:tcW w:type="dxa" w:w="4896"/>
          </w:tcPr>
          <w:p>
            <w:r/>
            <w:r>
              <w:rPr>
                <w:sz w:val="19"/>
              </w:rPr>
              <w:t>Never — remove “universal”. It is your own regime word for CD+APC.</w:t>
            </w:r>
          </w:p>
        </w:tc>
        <w:tc>
          <w:tcPr>
            <w:tcW w:type="dxa" w:w="1008"/>
          </w:tcPr>
          <w:p>
            <w:r/>
            <w:r>
              <w:rPr>
                <w:sz w:val="19"/>
              </w:rPr>
              <w:t>N4</w:t>
            </w:r>
          </w:p>
        </w:tc>
      </w:tr>
      <w:tr>
        <w:trPr>
          <w:cantSplit/>
        </w:trPr>
        <w:tc>
          <w:tcPr>
            <w:tcW w:type="dxa" w:w="3744"/>
          </w:tcPr>
          <w:p>
            <w:r/>
            <w:r>
              <w:rPr>
                <w:sz w:val="19"/>
              </w:rPr>
              <w:t>§5 names 3 methods and says 1,664, not the half split</w:t>
            </w:r>
          </w:p>
        </w:tc>
        <w:tc>
          <w:tcPr>
            <w:tcW w:type="dxa" w:w="4896"/>
          </w:tcPr>
          <w:p>
            <w:r/>
            <w:r>
              <w:rPr>
                <w:sz w:val="19"/>
              </w:rPr>
              <w:t>Both halves right: 1,664 contradicts §4.4 (results are on the 833 held-out pairs) and the roadmap omits VCD/SID. “Half-precision” = fp16 weights, not the split — that part can stay.</w:t>
            </w:r>
          </w:p>
        </w:tc>
        <w:tc>
          <w:tcPr>
            <w:tcW w:type="dxa" w:w="1008"/>
          </w:tcPr>
          <w:p>
            <w:r/>
            <w:r>
              <w:rPr>
                <w:sz w:val="19"/>
              </w:rPr>
              <w:t>N5</w:t>
            </w:r>
          </w:p>
        </w:tc>
      </w:tr>
      <w:tr>
        <w:trPr>
          <w:cantSplit/>
        </w:trPr>
        <w:tc>
          <w:tcPr>
            <w:tcW w:type="dxa" w:w="3744"/>
          </w:tcPr>
          <w:p>
            <w:r/>
            <w:r>
              <w:rPr>
                <w:sz w:val="19"/>
              </w:rPr>
              <w:t>Why the McNemar test? Is it suitable?</w:t>
            </w:r>
          </w:p>
        </w:tc>
        <w:tc>
          <w:tcPr>
            <w:tcW w:type="dxa" w:w="4896"/>
          </w:tcPr>
          <w:p>
            <w:r/>
            <w:r>
              <w:rPr>
                <w:sz w:val="19"/>
              </w:rPr>
              <w:t>Suitable and standard — it is THE paired test for two systems on one test set. Keep it; clarify what it compares. Details in N6.</w:t>
            </w:r>
          </w:p>
        </w:tc>
        <w:tc>
          <w:tcPr>
            <w:tcW w:type="dxa" w:w="1008"/>
          </w:tcPr>
          <w:p>
            <w:r/>
            <w:r>
              <w:rPr>
                <w:sz w:val="19"/>
              </w:rPr>
              <w:t>N6</w:t>
            </w:r>
          </w:p>
        </w:tc>
      </w:tr>
      <w:tr>
        <w:trPr>
          <w:cantSplit/>
        </w:trPr>
        <w:tc>
          <w:tcPr>
            <w:tcW w:type="dxa" w:w="3744"/>
          </w:tcPr>
          <w:p>
            <w:r/>
            <w:r>
              <w:rPr>
                <w:sz w:val="19"/>
              </w:rPr>
              <w:t>Table A1 has 6 models, Figure A1 has 7, Figure A2 has 6</w:t>
            </w:r>
          </w:p>
        </w:tc>
        <w:tc>
          <w:tcPr>
            <w:tcW w:type="dxa" w:w="4896"/>
          </w:tcPr>
          <w:p>
            <w:r/>
            <w:r>
              <w:rPr>
                <w:sz w:val="19"/>
              </w:rPr>
              <w:t>LLaVA-1.6 restored to Table A1 and Figure A2 (new files delivered). Figure A1 stays as is — it renders Table 1, which always had seven models.</w:t>
            </w:r>
          </w:p>
        </w:tc>
        <w:tc>
          <w:tcPr>
            <w:tcW w:type="dxa" w:w="1008"/>
          </w:tcPr>
          <w:p>
            <w:r/>
            <w:r>
              <w:rPr>
                <w:sz w:val="19"/>
              </w:rPr>
              <w:t>N1</w:t>
            </w:r>
          </w:p>
        </w:tc>
      </w:tr>
    </w:tbl>
    <w:p>
      <w:pPr>
        <w:spacing w:after="120"/>
      </w:pPr>
      <w:r>
        <w:rPr>
          <w:b w:val="0"/>
          <w:i w:val="0"/>
          <w:sz w:val="21"/>
        </w:rPr>
      </w:r>
    </w:p>
    <w:p>
      <w:pPr>
        <w:spacing w:after="120"/>
      </w:pPr>
      <w:r>
        <w:rPr>
          <w:b w:val="0"/>
          <w:i w:val="0"/>
          <w:sz w:val="21"/>
        </w:rPr>
        <w:t>Status of the earlier four fixes: Fixes 1, 3 and 4 stand exactly as written in report.docx. Fix 2 is superseded — the same sentence now gets the seven-model replacement in N1-a below, because Appendix A itself is changing. Everything is merged into the checklist in Section 9.</w:t>
      </w:r>
    </w:p>
    <w:p>
      <w:pPr>
        <w:pStyle w:val="Heading1"/>
        <w:spacing w:before="280" w:after="80"/>
      </w:pPr>
      <w:r>
        <w:rPr>
          <w:rFonts w:ascii="Calibri" w:hAnsi="Calibri"/>
          <w:color w:val="0F9D8F"/>
          <w:sz w:val="30"/>
        </w:rPr>
        <w:t>2. N1 — LLaVA-1.6 belongs in Table A1 and Figure A2 (files delivered)</w:t>
      </w:r>
    </w:p>
    <w:p>
      <w:pPr>
        <w:spacing w:after="120"/>
      </w:pPr>
      <w:r>
        <w:rPr>
          <w:b w:val="0"/>
          <w:i w:val="0"/>
          <w:sz w:val="21"/>
        </w:rPr>
        <w:t>Where is LLaVA-1.6? It was never missing from the experiments — its sweep exists: it is the Pareto table you supplied in the earlier round, already plotted as the third panel of Figure 6 and the seventh curve of Figure 7. Table A1 and Figure A2 simply predate it: they were generated from the six-model tuning sweep file and were never refreshed when Mistral joined. Figure A1 needs nothing — its caption says it renders Table 1, which always listed seven models.</w:t>
      </w:r>
    </w:p>
    <w:p>
      <w:pPr>
        <w:spacing w:after="80"/>
      </w:pPr>
      <w:r>
        <w:rPr>
          <w:b w:val="0"/>
          <w:i w:val="0"/>
          <w:sz w:val="21"/>
        </w:rPr>
        <w:t>The Mistral sweep peaks at 86.06, first reached at τ = 0.71 (its τ*), and coincides with the greedy baseline from 0.71 onward — so its gain at τ* is ±0.00, exactly like LLaVA-1.5-7B. I verified that every column of the new table peaks at its τ* row, and that the six old lollipop labels are unchanged (+8.61, +6.43, +3.35, +1.88, +0.24, ±0.00).</w:t>
      </w:r>
    </w:p>
    <w:p>
      <w:pPr>
        <w:spacing w:after="40"/>
      </w:pPr>
      <w:r>
        <w:rPr>
          <w:b/>
          <w:i w:val="0"/>
          <w:sz w:val="21"/>
        </w:rPr>
        <w:t>Deliverables (both in the repo / download folder):</w:t>
      </w:r>
    </w:p>
    <w:p>
      <w:pPr>
        <w:pStyle w:val="ListBullet"/>
      </w:pPr>
      <w:r>
        <w:rPr>
          <w:sz w:val="21"/>
        </w:rPr>
        <w:t>TableA1_7models.docx — the 8-column Table A1 (21 thresholds × 7 models), τ* cells bold on the teal tint, same style you already pasted once. Paste it over the current six-model table.</w:t>
      </w:r>
    </w:p>
    <w:p>
      <w:pPr>
        <w:pStyle w:val="ListBullet"/>
      </w:pPr>
      <w:r>
        <w:rPr>
          <w:sz w:val="21"/>
        </w:rPr>
        <w:t>figA2b_tau_star_gain.png / .pdf — regenerated Figure A2 with seven lollipops; identical style, Mistral in slate at the bottom.</w:t>
      </w:r>
    </w:p>
    <w:p>
      <w:r>
        <w:drawing>
          <wp:inline xmlns:a="http://schemas.openxmlformats.org/drawingml/2006/main" xmlns:pic="http://schemas.openxmlformats.org/drawingml/2006/picture">
            <wp:extent cx="5669280" cy="2480310"/>
            <wp:docPr id="1" name="Picture 1"/>
            <wp:cNvGraphicFramePr>
              <a:graphicFrameLocks noChangeAspect="1"/>
            </wp:cNvGraphicFramePr>
            <a:graphic>
              <a:graphicData uri="http://schemas.openxmlformats.org/drawingml/2006/picture">
                <pic:pic>
                  <pic:nvPicPr>
                    <pic:cNvPr id="0" name="figA2b_tau_star_gain.png"/>
                    <pic:cNvPicPr/>
                  </pic:nvPicPr>
                  <pic:blipFill>
                    <a:blip r:embed="rId9"/>
                    <a:stretch>
                      <a:fillRect/>
                    </a:stretch>
                  </pic:blipFill>
                  <pic:spPr>
                    <a:xfrm>
                      <a:off x="0" y="0"/>
                      <a:ext cx="5669280" cy="2480310"/>
                    </a:xfrm>
                    <a:prstGeom prst="rect"/>
                  </pic:spPr>
                </pic:pic>
              </a:graphicData>
            </a:graphic>
          </wp:inline>
        </w:drawing>
      </w:r>
    </w:p>
    <w:p>
      <w:pPr>
        <w:spacing w:after="160"/>
      </w:pPr>
      <w:r>
        <w:rPr>
          <w:b w:val="0"/>
          <w:i/>
          <w:color w:val="6B7280"/>
          <w:sz w:val="18"/>
        </w:rPr>
        <w:t>Regenerated Figure A2 — seven models; every previous label unchanged.</w:t>
      </w:r>
    </w:p>
    <w:p>
      <w:pPr>
        <w:spacing w:after="40"/>
      </w:pPr>
      <w:r>
        <w:rPr>
          <w:b/>
          <w:i w:val="0"/>
          <w:sz w:val="21"/>
        </w:rPr>
        <w:t>Three text edits go with them:</w:t>
      </w:r>
    </w:p>
    <w:p>
      <w:pPr>
        <w:spacing w:after="40"/>
      </w:pPr>
      <w:r>
        <w:rPr>
          <w:b/>
          <w:color w:val="1F2937"/>
          <w:sz w:val="19"/>
        </w:rPr>
        <w:t>N1-a  FIND:</w:t>
      </w:r>
    </w:p>
    <w:p>
      <w:pPr>
        <w:spacing w:after="120"/>
        <w:ind w:left="360"/>
      </w:pPr>
      <w:r>
        <w:rPr>
          <w:rFonts w:ascii="Courier New" w:hAnsi="Courier New"/>
          <w:color w:val="1F2937"/>
          <w:sz w:val="19"/>
        </w:rPr>
        <w:t>Six of the seven models are listed; LLaVA-v1.6-Mistral-7B is absent because its sweep is the earlier full-set run, which Table 1 and Figure 6 on all 1,664 pairs.</w:t>
      </w:r>
    </w:p>
    <w:p>
      <w:pPr>
        <w:spacing w:after="40"/>
      </w:pPr>
      <w:r>
        <w:rPr>
          <w:b/>
          <w:color w:val="0F9D8F"/>
          <w:sz w:val="19"/>
        </w:rPr>
        <w:t>REPLACE WITH:</w:t>
      </w:r>
    </w:p>
    <w:p>
      <w:pPr>
        <w:spacing w:after="120"/>
        <w:ind w:left="360"/>
      </w:pPr>
      <w:r>
        <w:rPr>
          <w:rFonts w:ascii="Courier New" w:hAnsi="Courier New"/>
          <w:color w:val="1F2937"/>
          <w:sz w:val="19"/>
        </w:rPr>
        <w:t>All seven models are listed.</w:t>
      </w:r>
    </w:p>
    <w:p>
      <w:pPr>
        <w:spacing w:after="120"/>
      </w:pPr>
      <w:r>
        <w:rPr>
          <w:b w:val="0"/>
          <w:i/>
          <w:color w:val="6B7280"/>
          <w:sz w:val="19"/>
        </w:rPr>
        <w:t>This also supersedes report.docx Fix 2 — same broken sentence, new destination. Do not apply Fix 2 as written.</w:t>
      </w:r>
    </w:p>
    <w:p>
      <w:pPr>
        <w:spacing w:after="40"/>
      </w:pPr>
      <w:r>
        <w:rPr>
          <w:b/>
          <w:color w:val="1F2937"/>
          <w:sz w:val="19"/>
        </w:rPr>
        <w:t>N1-b  FIND:</w:t>
      </w:r>
    </w:p>
    <w:p>
      <w:pPr>
        <w:spacing w:after="120"/>
        <w:ind w:left="360"/>
      </w:pPr>
      <w:r>
        <w:rPr>
          <w:rFonts w:ascii="Courier New" w:hAnsi="Courier New"/>
          <w:color w:val="1F2937"/>
          <w:sz w:val="19"/>
        </w:rPr>
        <w:t>0.69 (Idefics2-8B), and 0.70 (LLaVA-1.5-7B); Recall and Specificity</w:t>
      </w:r>
    </w:p>
    <w:p>
      <w:pPr>
        <w:spacing w:after="40"/>
      </w:pPr>
      <w:r>
        <w:rPr>
          <w:b/>
          <w:color w:val="0F9D8F"/>
          <w:sz w:val="19"/>
        </w:rPr>
        <w:t>REPLACE WITH:</w:t>
      </w:r>
    </w:p>
    <w:p>
      <w:pPr>
        <w:spacing w:after="120"/>
        <w:ind w:left="360"/>
      </w:pPr>
      <w:r>
        <w:rPr>
          <w:rFonts w:ascii="Courier New" w:hAnsi="Courier New"/>
          <w:color w:val="1F2937"/>
          <w:sz w:val="19"/>
        </w:rPr>
        <w:t>0.69 (Idefics2-8B), 0.70 (LLaVA-1.5-7B), and 0.71 (LLaVA-v1.6-Mistral-7B); Recall and Specificity</w:t>
      </w:r>
    </w:p>
    <w:p>
      <w:pPr>
        <w:spacing w:after="40"/>
      </w:pPr>
      <w:r>
        <w:rPr>
          <w:b/>
          <w:color w:val="1F2937"/>
          <w:sz w:val="19"/>
        </w:rPr>
        <w:t>N1-c  FIND (Table A1 caption):</w:t>
      </w:r>
    </w:p>
    <w:p>
      <w:pPr>
        <w:spacing w:after="120"/>
        <w:ind w:left="360"/>
      </w:pPr>
      <w:r>
        <w:rPr>
          <w:rFonts w:ascii="Courier New" w:hAnsi="Courier New"/>
          <w:color w:val="1F2937"/>
          <w:sz w:val="19"/>
        </w:rPr>
        <w:t>on the tuning half for the six models with tuning-half sweeps</w:t>
      </w:r>
    </w:p>
    <w:p>
      <w:pPr>
        <w:spacing w:after="40"/>
      </w:pPr>
      <w:r>
        <w:rPr>
          <w:b/>
          <w:color w:val="0F9D8F"/>
          <w:sz w:val="19"/>
        </w:rPr>
        <w:t>REPLACE WITH:</w:t>
      </w:r>
    </w:p>
    <w:p>
      <w:pPr>
        <w:spacing w:after="120"/>
        <w:ind w:left="360"/>
      </w:pPr>
      <w:r>
        <w:rPr>
          <w:rFonts w:ascii="Courier New" w:hAnsi="Courier New"/>
          <w:color w:val="1F2937"/>
          <w:sz w:val="19"/>
        </w:rPr>
        <w:t>for all seven models</w:t>
      </w:r>
    </w:p>
    <w:p>
      <w:pPr>
        <w:spacing w:after="120"/>
      </w:pPr>
      <w:r>
        <w:rPr>
          <w:b w:val="0"/>
          <w:i w:val="0"/>
          <w:sz w:val="21"/>
        </w:rPr>
        <w:t>No other appendix change: the Figure A2 caption (“Gain over greedy decoding at each model's selected threshold τ* on the tuning half…”) stays true for seven models, and Figure A1 plus its caption are untouched.</w:t>
      </w:r>
    </w:p>
    <w:p>
      <w:pPr>
        <w:pStyle w:val="Heading1"/>
        <w:spacing w:before="280" w:after="80"/>
      </w:pPr>
      <w:r>
        <w:rPr>
          <w:rFonts w:ascii="Calibri" w:hAnsi="Calibri"/>
          <w:color w:val="0F9D8F"/>
          <w:sz w:val="30"/>
        </w:rPr>
        <w:t>3. N2 — Abstract: “We call this mechanism Visual Inertia” misattributes the term</w:t>
      </w:r>
    </w:p>
    <w:p>
      <w:pPr>
        <w:spacing w:after="120"/>
      </w:pPr>
      <w:r>
        <w:rPr>
          <w:b w:val="0"/>
          <w:i w:val="0"/>
          <w:sz w:val="21"/>
        </w:rPr>
        <w:t>Your instinct is right. The term is not yours: your own §2.1 says “Gong et al. (2026) call this mechanism Visual Inertia”, and §1 and Contribution 1 credit them the same way. The Abstract's “We call this mechanism Visual Inertia” claims the coinage and contradicts the body three lines later. The title is fine either way — using a term is not claiming it.</w:t>
      </w:r>
    </w:p>
    <w:p>
      <w:pPr>
        <w:spacing w:after="40"/>
      </w:pPr>
      <w:r>
        <w:rPr>
          <w:b/>
          <w:color w:val="1F2937"/>
          <w:sz w:val="19"/>
        </w:rPr>
        <w:t>N2  FIND:</w:t>
      </w:r>
    </w:p>
    <w:p>
      <w:pPr>
        <w:spacing w:after="120"/>
        <w:ind w:left="360"/>
      </w:pPr>
      <w:r>
        <w:rPr>
          <w:rFonts w:ascii="Courier New" w:hAnsi="Courier New"/>
          <w:color w:val="1F2937"/>
          <w:sz w:val="19"/>
        </w:rPr>
        <w:t>We call this mechanism Visual Inertia and target it at decoding time.</w:t>
      </w:r>
    </w:p>
    <w:p>
      <w:pPr>
        <w:spacing w:after="40"/>
      </w:pPr>
      <w:r>
        <w:rPr>
          <w:b/>
          <w:color w:val="0F9D8F"/>
          <w:sz w:val="19"/>
        </w:rPr>
        <w:t>REPLACE WITH:</w:t>
      </w:r>
    </w:p>
    <w:p>
      <w:pPr>
        <w:spacing w:after="120"/>
        <w:ind w:left="360"/>
      </w:pPr>
      <w:r>
        <w:rPr>
          <w:rFonts w:ascii="Courier New" w:hAnsi="Courier New"/>
          <w:color w:val="1F2937"/>
          <w:sz w:val="19"/>
        </w:rPr>
        <w:t>We target this mechanism, Visual Inertia, at decoding time.</w:t>
      </w:r>
    </w:p>
    <w:p>
      <w:pPr>
        <w:spacing w:after="120"/>
      </w:pPr>
      <w:r>
        <w:rPr>
          <w:b w:val="0"/>
          <w:i w:val="0"/>
          <w:sz w:val="21"/>
        </w:rPr>
        <w:t>About your proposed “We handle this Visual Inertia…”: I would not use it. “This Visual Inertia” reads oddly — a properly coined term does not take “this” like a countable noun — and “handle” is vaguer than “target”. The replacement above keeps your intent, stays grammatical, and needs no citation in the Abstract: the attribution to Gong et al. already lives where reviewers look for it (§1, §2.1, Contribution 1).</w:t>
      </w:r>
    </w:p>
    <w:p>
      <w:pPr>
        <w:pStyle w:val="Heading1"/>
        <w:spacing w:before="280" w:after="80"/>
      </w:pPr>
      <w:r>
        <w:rPr>
          <w:rFonts w:ascii="Calibri" w:hAnsi="Calibri"/>
          <w:color w:val="0F9D8F"/>
          <w:sz w:val="30"/>
        </w:rPr>
        <w:t>4. N3 — §3.1 equation: the commas around the conditioning bar</w:t>
      </w:r>
    </w:p>
    <w:p>
      <w:pPr>
        <w:spacing w:after="120"/>
      </w:pPr>
      <w:r>
        <w:rPr>
          <w:b w:val="0"/>
          <w:i w:val="0"/>
          <w:sz w:val="21"/>
        </w:rPr>
        <w:t>Diagnosis: the bar “|” already separates the outcome (yₜ) from the conditions. Nothing should sit between yₜ and the bar, and no comma belongs immediately after it. Commas belong only between the three conditioning variables. As printed, the equation reads “P(yₜ , | , XᵥXₜY&lt;ₜ)” — two stray commas, two missing ones. This is an equation object, so Find &amp; Replace cannot see it; edit it by hand:</w:t>
      </w:r>
    </w:p>
    <w:p>
      <w:pPr>
        <w:pStyle w:val="ListBullet"/>
      </w:pPr>
      <w:r>
        <w:rPr>
          <w:sz w:val="21"/>
        </w:rPr>
        <w:t>delete the comma right after yₜ;</w:t>
      </w:r>
    </w:p>
    <w:p>
      <w:pPr>
        <w:pStyle w:val="ListBullet"/>
      </w:pPr>
      <w:r>
        <w:rPr>
          <w:sz w:val="21"/>
        </w:rPr>
        <w:t>delete the comma right after the bar;</w:t>
      </w:r>
    </w:p>
    <w:p>
      <w:pPr>
        <w:pStyle w:val="ListBullet"/>
      </w:pPr>
      <w:r>
        <w:rPr>
          <w:sz w:val="21"/>
        </w:rPr>
        <w:t>type a comma after Xᵥ and after Xₜ.</w:t>
      </w:r>
    </w:p>
    <w:p>
      <w:pPr>
        <w:spacing w:after="40"/>
      </w:pPr>
      <w:r>
        <w:rPr>
          <w:b/>
          <w:i w:val="0"/>
          <w:sz w:val="21"/>
        </w:rPr>
        <w:t>Resulting display:</w:t>
      </w:r>
    </w:p>
    <w:p>
      <w:pPr>
        <w:spacing w:after="40"/>
      </w:pPr>
      <w:r>
        <w:rPr>
          <w:b/>
          <w:color w:val="0F9D8F"/>
          <w:sz w:val="19"/>
        </w:rPr>
        <w:t>RESULT:</w:t>
      </w:r>
    </w:p>
    <w:p>
      <w:pPr>
        <w:spacing w:after="120"/>
        <w:ind w:left="360"/>
      </w:pPr>
      <w:r>
        <w:rPr>
          <w:rFonts w:ascii="Courier New" w:hAnsi="Courier New"/>
          <w:color w:val="1F2937"/>
          <w:sz w:val="19"/>
        </w:rPr>
        <w:t>P_std( y_t | X_v , X_t , Y_&lt;t ) = softmax( z_std( y_t ) )</w:t>
      </w:r>
    </w:p>
    <w:p>
      <w:pPr>
        <w:spacing w:after="120"/>
      </w:pPr>
      <w:r>
        <w:rPr>
          <w:b w:val="0"/>
          <w:i w:val="0"/>
          <w:sz w:val="21"/>
        </w:rPr>
        <w:t>Two notes. First, this now matches Algorithm 1's own convention (“z_θ(yₜ | Xᵥ, Xₜ, Y&lt;ₜ)”), so the paper is internally consistent. Second, the right-hand side softmax(z_std(yₜ)) stays as it is — the sentence right after the equation defines z_std as collecting the vocabulary logits, which is the standard shorthand in the contrastive-decoding literature, and your CD and EGCD equations use the same style.</w:t>
      </w:r>
    </w:p>
    <w:p>
      <w:pPr>
        <w:pStyle w:val="Heading1"/>
        <w:spacing w:before="280" w:after="80"/>
      </w:pPr>
      <w:r>
        <w:rPr>
          <w:rFonts w:ascii="Calibri" w:hAnsi="Calibri"/>
          <w:color w:val="0F9D8F"/>
          <w:sz w:val="30"/>
        </w:rPr>
        <w:t>5. N4 — drop “universal” before VCD and SID (you are right)</w:t>
      </w:r>
    </w:p>
    <w:p>
      <w:pPr>
        <w:spacing w:after="120"/>
      </w:pPr>
      <w:r>
        <w:rPr>
          <w:b w:val="0"/>
          <w:i w:val="0"/>
          <w:sz w:val="21"/>
        </w:rPr>
        <w:t>“Universal” is your paper's own regime adjective: it means “applied at every step of every query”, coined for your always-on CD+APC arm. VCD and SID are published methods that you apply under that regime for comparison — they are not “published universal baselines”, and a reviewer who knows VCD and SID will trip exactly where you did. The sentence already says “applied at every step with the same α and β”, which carries the regime information on its own.</w:t>
      </w:r>
    </w:p>
    <w:p>
      <w:pPr>
        <w:spacing w:after="40"/>
      </w:pPr>
      <w:r>
        <w:rPr>
          <w:b/>
          <w:color w:val="1F2937"/>
          <w:sz w:val="19"/>
        </w:rPr>
        <w:t>N4  FIND:</w:t>
      </w:r>
    </w:p>
    <w:p>
      <w:pPr>
        <w:spacing w:after="120"/>
        <w:ind w:left="360"/>
      </w:pPr>
      <w:r>
        <w:rPr>
          <w:rFonts w:ascii="Courier New" w:hAnsi="Courier New"/>
          <w:color w:val="1F2937"/>
          <w:sz w:val="19"/>
        </w:rPr>
        <w:t>and two published universal baselines, VCD and SID</w:t>
      </w:r>
    </w:p>
    <w:p>
      <w:pPr>
        <w:spacing w:after="40"/>
      </w:pPr>
      <w:r>
        <w:rPr>
          <w:b/>
          <w:color w:val="0F9D8F"/>
          <w:sz w:val="19"/>
        </w:rPr>
        <w:t>REPLACE WITH:</w:t>
      </w:r>
    </w:p>
    <w:p>
      <w:pPr>
        <w:spacing w:after="120"/>
        <w:ind w:left="360"/>
      </w:pPr>
      <w:r>
        <w:rPr>
          <w:rFonts w:ascii="Courier New" w:hAnsi="Courier New"/>
          <w:color w:val="1F2937"/>
          <w:sz w:val="19"/>
        </w:rPr>
        <w:t>and two published baselines, VCD and SID</w:t>
      </w:r>
    </w:p>
    <w:p>
      <w:pPr>
        <w:spacing w:after="120"/>
      </w:pPr>
      <w:r>
        <w:rPr>
          <w:b w:val="0"/>
          <w:i w:val="0"/>
          <w:sz w:val="21"/>
        </w:rPr>
        <w:t>Everywhere else that “universal” appears it modifies CD+APC or CD — your own always-on regime — and stays: “universal CD+APC”, “universal contrastive decoding inflicts…”, “Contrastive decoding is not a universal tool”, etc.</w:t>
      </w:r>
    </w:p>
    <w:p>
      <w:pPr>
        <w:pStyle w:val="Heading1"/>
        <w:spacing w:before="280" w:after="80"/>
      </w:pPr>
      <w:r>
        <w:rPr>
          <w:rFonts w:ascii="Calibri" w:hAnsi="Calibri"/>
          <w:color w:val="0F9D8F"/>
          <w:sz w:val="30"/>
        </w:rPr>
        <w:t>6. N5 — §5 opening: yes, it is a contradiction (two edits)</w:t>
      </w:r>
    </w:p>
    <w:p>
      <w:pPr>
        <w:spacing w:after="120"/>
      </w:pPr>
      <w:r>
        <w:rPr>
          <w:b w:val="0"/>
          <w:i w:val="0"/>
          <w:sz w:val="21"/>
        </w:rPr>
        <w:t>(a) The number. §4.4 promises: “report every number in this paper on the held-out half”, and the Abstract repeats it (“every result reported on the held-out half”). So “The evaluation covers 1,664 relational pairs” contradicts both. The 1,664 is the full relation subset — 831 tuning + 833 held-out; what §5 reports is the 833. The fix is one phrase:</w:t>
      </w:r>
    </w:p>
    <w:p>
      <w:pPr>
        <w:spacing w:after="40"/>
      </w:pPr>
      <w:r>
        <w:rPr>
          <w:b/>
          <w:color w:val="1F2937"/>
          <w:sz w:val="19"/>
        </w:rPr>
        <w:t>N5-a  FIND:</w:t>
      </w:r>
    </w:p>
    <w:p>
      <w:pPr>
        <w:spacing w:after="120"/>
        <w:ind w:left="360"/>
      </w:pPr>
      <w:r>
        <w:rPr>
          <w:rFonts w:ascii="Courier New" w:hAnsi="Courier New"/>
          <w:color w:val="1F2937"/>
          <w:sz w:val="19"/>
        </w:rPr>
        <w:t>The evaluation covers 1,664 relational pairs across seven models</w:t>
      </w:r>
    </w:p>
    <w:p>
      <w:pPr>
        <w:spacing w:after="40"/>
      </w:pPr>
      <w:r>
        <w:rPr>
          <w:b/>
          <w:color w:val="0F9D8F"/>
          <w:sz w:val="19"/>
        </w:rPr>
        <w:t>REPLACE WITH:</w:t>
      </w:r>
    </w:p>
    <w:p>
      <w:pPr>
        <w:spacing w:after="120"/>
        <w:ind w:left="360"/>
      </w:pPr>
      <w:r>
        <w:rPr>
          <w:rFonts w:ascii="Courier New" w:hAnsi="Courier New"/>
          <w:color w:val="1F2937"/>
          <w:sz w:val="19"/>
        </w:rPr>
        <w:t>The evaluation covers the 833 held-out relational pairs across seven models</w:t>
      </w:r>
    </w:p>
    <w:p>
      <w:pPr>
        <w:spacing w:after="120"/>
      </w:pPr>
      <w:r>
        <w:rPr>
          <w:b w:val="0"/>
          <w:i w:val="0"/>
          <w:sz w:val="21"/>
        </w:rPr>
        <w:t>(b) The missing methods. The roadmap sentence defines only EGCD, universal CD+APC and Baseline — but VCD and SID appear in Table 1, Figures 2–4, and the whole 5.1 discussion of them. Name them in the same breath:</w:t>
      </w:r>
    </w:p>
    <w:p>
      <w:pPr>
        <w:spacing w:after="40"/>
      </w:pPr>
      <w:r>
        <w:rPr>
          <w:b/>
          <w:color w:val="1F2937"/>
          <w:sz w:val="19"/>
        </w:rPr>
        <w:t>N5-b  FIND:</w:t>
      </w:r>
    </w:p>
    <w:p>
      <w:pPr>
        <w:spacing w:after="120"/>
        <w:ind w:left="360"/>
      </w:pPr>
      <w:r>
        <w:rPr>
          <w:rFonts w:ascii="Courier New" w:hAnsi="Courier New"/>
          <w:color w:val="1F2937"/>
          <w:sz w:val="19"/>
        </w:rPr>
        <w:t>applied at every step of every query, and Baseline denotes plain greedy decoding.</w:t>
      </w:r>
    </w:p>
    <w:p>
      <w:pPr>
        <w:spacing w:after="40"/>
      </w:pPr>
      <w:r>
        <w:rPr>
          <w:b/>
          <w:color w:val="0F9D8F"/>
          <w:sz w:val="19"/>
        </w:rPr>
        <w:t>REPLACE WITH:</w:t>
      </w:r>
    </w:p>
    <w:p>
      <w:pPr>
        <w:spacing w:after="120"/>
        <w:ind w:left="360"/>
      </w:pPr>
      <w:r>
        <w:rPr>
          <w:rFonts w:ascii="Courier New" w:hAnsi="Courier New"/>
          <w:color w:val="1F2937"/>
          <w:sz w:val="19"/>
        </w:rPr>
        <w:t>applied at every step of every query, VCD and SID denote the two published baselines of Section 2.2 applied the same way, and Baseline denotes plain greedy decoding.</w:t>
      </w:r>
    </w:p>
    <w:p>
      <w:pPr>
        <w:spacing w:after="120"/>
      </w:pPr>
      <w:r>
        <w:rPr>
          <w:b w:val="0"/>
          <w:i w:val="0"/>
          <w:sz w:val="21"/>
        </w:rPr>
        <w:t>Two footnotes to the same passage. First, “half-precision settings” is not the data split — it means fp16 model weights (§4.4: “All runs are zero-shot, half-precision, greedy decoding”), so that phrase stays exactly where it is; the contradiction was only the 1,664. Second, the “We report three axes” sentence is about what is analysed, not which methods — no change needed there.</w:t>
      </w:r>
    </w:p>
    <w:p>
      <w:pPr>
        <w:pStyle w:val="Heading1"/>
        <w:spacing w:before="280" w:after="80"/>
      </w:pPr>
      <w:r>
        <w:rPr>
          <w:rFonts w:ascii="Calibri" w:hAnsi="Calibri"/>
          <w:color w:val="0F9D8F"/>
          <w:sz w:val="30"/>
        </w:rPr>
        <w:t>7. N6 — the McNemar test: keep it. Here is what it does and why it fits</w:t>
      </w:r>
    </w:p>
    <w:p>
      <w:pPr>
        <w:spacing w:after="120"/>
      </w:pPr>
      <w:r>
        <w:rPr>
          <w:b w:val="0"/>
          <w:i w:val="0"/>
          <w:sz w:val="21"/>
        </w:rPr>
        <w:t>What is compared: the per-item outcomes (correct / incorrect) of EGCD and universal CD+APC on the same held-out questions. That pairing is the whole point — every question is answered twice, once per regime, so the only items that matter are the ones where the two regimes disagree. The test asks whether EGCD's wins outnumber its losses beyond chance. It is not a test about averages; it uses exactly the information that a bare difference of two accuracies throws away.</w:t>
      </w:r>
    </w:p>
    <w:p>
      <w:pPr>
        <w:spacing w:after="120"/>
      </w:pPr>
      <w:r>
        <w:rPr>
          <w:b w:val="0"/>
          <w:i w:val="0"/>
          <w:sz w:val="21"/>
        </w:rPr>
        <w:t>Why it is suitable: two systems, one fixed test set, binary per-item outcomes is precisely the design for which McNemar's test is the recommended procedure — Dietterich (1998) established it as the standard paired test for comparing two classifiers, and Dror et al. (2018) is the standard NLP reference saying the same. Removing it would leave “the only gain over CD that survives” unsupported and turn the +3.11 claim into a bare point estimate.</w:t>
      </w:r>
    </w:p>
    <w:p>
      <w:pPr>
        <w:spacing w:after="120"/>
      </w:pPr>
      <w:r>
        <w:rPr>
          <w:b w:val="0"/>
          <w:i w:val="0"/>
          <w:sz w:val="21"/>
        </w:rPr>
        <w:t>Do other authors conduct this test? Significance testing of paired systems is standard evaluation practice in ML and NLP. Most contrastive-decoding papers — VCD and SID included — skip it, which is a weakness of those papers, not of yours: reporting it preempts the most predictable reviewer question about your headline gain.</w:t>
      </w:r>
    </w:p>
    <w:p>
      <w:pPr>
        <w:spacing w:after="40"/>
      </w:pPr>
      <w:r>
        <w:rPr>
          <w:b/>
          <w:i w:val="0"/>
          <w:sz w:val="21"/>
        </w:rPr>
        <w:t>Your numbers check out against the run data:</w:t>
      </w:r>
    </w:p>
    <w:p>
      <w:pPr>
        <w:pStyle w:val="ListBullet"/>
      </w:pPr>
      <w:r>
        <w:rPr>
          <w:sz w:val="21"/>
        </w:rPr>
        <w:t>Qwen2-VL-2B EGCD vs CD: p = 0.002 (data: 0.00195) — the only gap over CD that is real.</w:t>
      </w:r>
    </w:p>
    <w:p>
      <w:pPr>
        <w:pStyle w:val="ListBullet"/>
      </w:pPr>
      <w:r>
        <w:rPr>
          <w:sz w:val="21"/>
        </w:rPr>
        <w:t>Phi-3 (+0.07), SmolVLM2 (+0.09), Idefics2 (+0.10) over CD: p &gt; 0.99 (data: 1.0) — genuinely indistinguishable; “inside sampling noise” is a fair reading of p = 1.0.</w:t>
      </w:r>
    </w:p>
    <w:p>
      <w:pPr>
        <w:pStyle w:val="ListBullet"/>
      </w:pPr>
      <w:r>
        <w:rPr>
          <w:sz w:val="21"/>
        </w:rPr>
        <w:t>VCD vs CD+APC on SmolVLM2: p = 0.032 (data: 0.0316) — also correct.</w:t>
      </w:r>
    </w:p>
    <w:p>
      <w:pPr>
        <w:spacing w:after="40"/>
      </w:pPr>
      <w:r>
        <w:rPr>
          <w:b w:val="0"/>
          <w:i w:val="0"/>
          <w:sz w:val="21"/>
        </w:rPr>
        <w:t>Optional one-word clarity tweak (recommended — it names what was compared, which was your question):</w:t>
      </w:r>
    </w:p>
    <w:p>
      <w:pPr>
        <w:spacing w:after="40"/>
      </w:pPr>
      <w:r>
        <w:rPr>
          <w:b/>
          <w:color w:val="1F2937"/>
          <w:sz w:val="19"/>
        </w:rPr>
        <w:t>N6  FIND:</w:t>
      </w:r>
    </w:p>
    <w:p>
      <w:pPr>
        <w:spacing w:after="120"/>
        <w:ind w:left="360"/>
      </w:pPr>
      <w:r>
        <w:rPr>
          <w:rFonts w:ascii="Courier New" w:hAnsi="Courier New"/>
          <w:color w:val="1F2937"/>
          <w:sz w:val="19"/>
        </w:rPr>
        <w:t>survives a McNemar test on paired items (p =</w:t>
      </w:r>
    </w:p>
    <w:p>
      <w:pPr>
        <w:spacing w:after="40"/>
      </w:pPr>
      <w:r>
        <w:rPr>
          <w:b/>
          <w:color w:val="0F9D8F"/>
          <w:sz w:val="19"/>
        </w:rPr>
        <w:t>REPLACE WITH:</w:t>
      </w:r>
    </w:p>
    <w:p>
      <w:pPr>
        <w:spacing w:after="120"/>
        <w:ind w:left="360"/>
      </w:pPr>
      <w:r>
        <w:rPr>
          <w:rFonts w:ascii="Courier New" w:hAnsi="Courier New"/>
          <w:color w:val="1F2937"/>
          <w:sz w:val="19"/>
        </w:rPr>
        <w:t>survives a McNemar test on paired per-item outcomes (p =</w:t>
      </w:r>
    </w:p>
    <w:p>
      <w:pPr>
        <w:spacing w:after="120"/>
      </w:pPr>
      <w:r>
        <w:rPr>
          <w:b w:val="0"/>
          <w:i w:val="0"/>
          <w:sz w:val="21"/>
        </w:rPr>
        <w:t>Optional methodological anchor, only if you want a citation at first use: add this entry to the reference list and write “(McNemar test; Dietterich, 1998)” in §4.4 or at the 5.1 sentence:</w:t>
      </w:r>
    </w:p>
    <w:p>
      <w:pPr>
        <w:spacing w:after="40"/>
      </w:pPr>
      <w:r>
        <w:rPr>
          <w:b/>
          <w:color w:val="926A0E"/>
          <w:sz w:val="19"/>
        </w:rPr>
        <w:t>REFERENCE:</w:t>
      </w:r>
    </w:p>
    <w:p>
      <w:pPr>
        <w:spacing w:after="120"/>
        <w:ind w:left="360"/>
      </w:pPr>
      <w:r>
        <w:rPr>
          <w:rFonts w:ascii="Courier New" w:hAnsi="Courier New"/>
          <w:color w:val="1F2937"/>
          <w:sz w:val="19"/>
        </w:rPr>
        <w:t>Dietterich, T. G. (1998). Approximate statistical tests for comparing supervised classification learning algorithms. Neural Computation, 10(7), 1895–1923.</w:t>
      </w:r>
    </w:p>
    <w:p>
      <w:pPr>
        <w:spacing w:after="120"/>
      </w:pPr>
      <w:r>
        <w:rPr>
          <w:b w:val="0"/>
          <w:i w:val="0"/>
          <w:sz w:val="21"/>
        </w:rPr>
        <w:t>Both optional; the sentence stands without them. Do not remove the test itself.</w:t>
      </w:r>
    </w:p>
    <w:p>
      <w:pPr>
        <w:pStyle w:val="Heading1"/>
        <w:spacing w:before="280" w:after="80"/>
      </w:pPr>
      <w:r>
        <w:rPr>
          <w:rFonts w:ascii="Calibri" w:hAnsi="Calibri"/>
          <w:color w:val="0F9D8F"/>
          <w:sz w:val="30"/>
        </w:rPr>
        <w:t>8. The earlier four fixes — carried status</w:t>
      </w:r>
    </w:p>
    <w:p>
      <w:pPr>
        <w:pStyle w:val="ListBullet"/>
      </w:pPr>
      <w:r>
        <w:rPr>
          <w:b/>
        </w:rPr>
        <w:t xml:space="preserve">Still open. </w:t>
      </w:r>
      <w:r>
        <w:rPr>
          <w:sz w:val="21"/>
        </w:rPr>
        <w:t>Fix 1 — Table 1, LLaVA-v1.6-Mistral-7B block, SID row: Specificity 93.72 → 93.76. Still open, unchanged (manual cell edit; the row's own arithmetic and Figure A1 both require 93.76).</w:t>
      </w:r>
    </w:p>
    <w:p>
      <w:pPr>
        <w:pStyle w:val="ListBullet"/>
      </w:pPr>
      <w:r>
        <w:rPr>
          <w:b/>
        </w:rPr>
        <w:t xml:space="preserve">Superseded. </w:t>
      </w:r>
      <w:r>
        <w:rPr>
          <w:sz w:val="21"/>
        </w:rPr>
        <w:t>Fix 2 — appendix intro sentence: SUPERSEDED by N1-a above. Do not apply report.docx's replacement; use the seven-model wording.</w:t>
      </w:r>
    </w:p>
    <w:p>
      <w:pPr>
        <w:pStyle w:val="ListBullet"/>
      </w:pPr>
      <w:r>
        <w:rPr>
          <w:b/>
        </w:rPr>
        <w:t xml:space="preserve">Still open. </w:t>
      </w:r>
      <w:r>
        <w:rPr>
          <w:sz w:val="21"/>
        </w:rPr>
        <w:t>Fix 3 — §5.4: “Beyond 0.71 the curve slides back down toward the 71.50% baseline” → “Beyond 0.70 the curve slides back down toward the greedy baseline”. Still open, unchanged.</w:t>
      </w:r>
    </w:p>
    <w:p>
      <w:pPr>
        <w:pStyle w:val="ListBullet"/>
      </w:pPr>
      <w:r>
        <w:rPr>
          <w:b/>
        </w:rPr>
        <w:t xml:space="preserve">Still open. </w:t>
      </w:r>
      <w:r>
        <w:rPr>
          <w:sz w:val="21"/>
        </w:rPr>
        <w:t>Fix 4 — §3.2 entropy equation: inside H(Y₁), change the two yₜ subscripts to y, matching Algorithm 1. Still open, unchanged.</w:t>
      </w:r>
    </w:p>
    <w:p>
      <w:pPr>
        <w:spacing w:after="120"/>
      </w:pPr>
      <w:r>
        <w:rPr>
          <w:b w:val="0"/>
          <w:i w:val="0"/>
          <w:sz w:val="21"/>
        </w:rPr>
        <w:t>Also still open from report.docx (not repeated here): the two reference entries (Laurençon accent; Im et al. ICLR venue) and the optional polish (Abstract “such as the LLaVA models”; Table A1 header τ case; the 5.4 parenthetical).</w:t>
      </w:r>
    </w:p>
    <w:p>
      <w:pPr>
        <w:pStyle w:val="Heading1"/>
        <w:spacing w:before="280" w:after="80"/>
      </w:pPr>
      <w:r>
        <w:rPr>
          <w:rFonts w:ascii="Calibri" w:hAnsi="Calibri"/>
          <w:color w:val="0F9D8F"/>
          <w:sz w:val="30"/>
        </w:rPr>
        <w:t>9. Apply-in-one-go checklist</w:t>
      </w:r>
    </w:p>
    <w:tbl>
      <w:tblPr>
        <w:tblStyle w:val="TableGrid"/>
        <w:tblW w:type="auto" w:w="0"/>
        <w:jc w:val="center"/>
        <w:tblLook w:firstColumn="1" w:firstRow="1" w:lastColumn="0" w:lastRow="0" w:noHBand="0" w:noVBand="1" w:val="04A0"/>
        <w:tblCellMar>
          <w:top w:w="45" w:type="dxa"/>
          <w:left w:w="90" w:type="dxa"/>
          <w:bottom w:w="45" w:type="dxa"/>
          <w:right w:w="90" w:type="dxa"/>
        </w:tblCellMar>
      </w:tblPr>
      <w:tblGrid>
        <w:gridCol w:w="2412"/>
        <w:gridCol w:w="2412"/>
        <w:gridCol w:w="2412"/>
        <w:gridCol w:w="2412"/>
      </w:tblGrid>
      <w:tr>
        <w:trPr>
          <w:tblHeader w:val="true"/>
          <w:cantSplit/>
        </w:trPr>
        <w:tc>
          <w:tcPr>
            <w:tcW w:type="dxa" w:w="504"/>
            <w:shd w:val="clear" w:fill="EDF2F7"/>
          </w:tcPr>
          <w:p>
            <w:r/>
            <w:r>
              <w:rPr>
                <w:b/>
                <w:sz w:val="19"/>
              </w:rPr>
              <w:t>#</w:t>
            </w:r>
          </w:p>
        </w:tc>
        <w:tc>
          <w:tcPr>
            <w:tcW w:type="dxa" w:w="2160"/>
            <w:shd w:val="clear" w:fill="EDF2F7"/>
          </w:tcPr>
          <w:p>
            <w:r/>
            <w:r>
              <w:rPr>
                <w:b/>
                <w:sz w:val="19"/>
              </w:rPr>
              <w:t>Where</w:t>
            </w:r>
          </w:p>
        </w:tc>
        <w:tc>
          <w:tcPr>
            <w:tcW w:type="dxa" w:w="5976"/>
            <w:shd w:val="clear" w:fill="EDF2F7"/>
          </w:tcPr>
          <w:p>
            <w:r/>
            <w:r>
              <w:rPr>
                <w:b/>
                <w:sz w:val="19"/>
              </w:rPr>
              <w:t>Edit</w:t>
            </w:r>
          </w:p>
        </w:tc>
        <w:tc>
          <w:tcPr>
            <w:tcW w:type="dxa" w:w="1008"/>
            <w:shd w:val="clear" w:fill="EDF2F7"/>
          </w:tcPr>
          <w:p>
            <w:r/>
            <w:r>
              <w:rPr>
                <w:b/>
                <w:sz w:val="19"/>
              </w:rPr>
              <w:t>From</w:t>
            </w:r>
          </w:p>
        </w:tc>
      </w:tr>
      <w:tr>
        <w:trPr>
          <w:cantSplit/>
        </w:trPr>
        <w:tc>
          <w:tcPr>
            <w:tcW w:type="dxa" w:w="504"/>
          </w:tcPr>
          <w:p>
            <w:r/>
            <w:r>
              <w:rPr>
                <w:sz w:val="19"/>
              </w:rPr>
              <w:t>1</w:t>
            </w:r>
          </w:p>
        </w:tc>
        <w:tc>
          <w:tcPr>
            <w:tcW w:type="dxa" w:w="2160"/>
          </w:tcPr>
          <w:p>
            <w:r/>
            <w:r>
              <w:rPr>
                <w:sz w:val="19"/>
              </w:rPr>
              <w:t>Table 1, Mistral SID row</w:t>
            </w:r>
          </w:p>
        </w:tc>
        <w:tc>
          <w:tcPr>
            <w:tcW w:type="dxa" w:w="5976"/>
          </w:tcPr>
          <w:p>
            <w:r/>
            <w:r>
              <w:rPr>
                <w:sz w:val="19"/>
              </w:rPr>
              <w:t>Specificity 93.72 → 93.76 (cell edit)</w:t>
            </w:r>
          </w:p>
        </w:tc>
        <w:tc>
          <w:tcPr>
            <w:tcW w:type="dxa" w:w="1008"/>
          </w:tcPr>
          <w:p>
            <w:r/>
            <w:r>
              <w:rPr>
                <w:sz w:val="19"/>
              </w:rPr>
              <w:t>Fix 1</w:t>
            </w:r>
          </w:p>
        </w:tc>
      </w:tr>
      <w:tr>
        <w:trPr>
          <w:cantSplit/>
        </w:trPr>
        <w:tc>
          <w:tcPr>
            <w:tcW w:type="dxa" w:w="504"/>
          </w:tcPr>
          <w:p>
            <w:r/>
            <w:r>
              <w:rPr>
                <w:sz w:val="19"/>
              </w:rPr>
              <w:t>2</w:t>
            </w:r>
          </w:p>
        </w:tc>
        <w:tc>
          <w:tcPr>
            <w:tcW w:type="dxa" w:w="2160"/>
          </w:tcPr>
          <w:p>
            <w:r/>
            <w:r>
              <w:rPr>
                <w:sz w:val="19"/>
              </w:rPr>
              <w:t>Abstract</w:t>
            </w:r>
          </w:p>
        </w:tc>
        <w:tc>
          <w:tcPr>
            <w:tcW w:type="dxa" w:w="5976"/>
          </w:tcPr>
          <w:p>
            <w:r/>
            <w:r>
              <w:rPr>
                <w:sz w:val="19"/>
              </w:rPr>
              <w:t>“We call this mechanism…” → “We target this mechanism, Visual Inertia, at decoding time.”</w:t>
            </w:r>
          </w:p>
        </w:tc>
        <w:tc>
          <w:tcPr>
            <w:tcW w:type="dxa" w:w="1008"/>
          </w:tcPr>
          <w:p>
            <w:r/>
            <w:r>
              <w:rPr>
                <w:sz w:val="19"/>
              </w:rPr>
              <w:t>N2</w:t>
            </w:r>
          </w:p>
        </w:tc>
      </w:tr>
      <w:tr>
        <w:trPr>
          <w:cantSplit/>
        </w:trPr>
        <w:tc>
          <w:tcPr>
            <w:tcW w:type="dxa" w:w="504"/>
          </w:tcPr>
          <w:p>
            <w:r/>
            <w:r>
              <w:rPr>
                <w:sz w:val="19"/>
              </w:rPr>
              <w:t>3</w:t>
            </w:r>
          </w:p>
        </w:tc>
        <w:tc>
          <w:tcPr>
            <w:tcW w:type="dxa" w:w="2160"/>
          </w:tcPr>
          <w:p>
            <w:r/>
            <w:r>
              <w:rPr>
                <w:sz w:val="19"/>
              </w:rPr>
              <w:t>§3.1 equation</w:t>
            </w:r>
          </w:p>
        </w:tc>
        <w:tc>
          <w:tcPr>
            <w:tcW w:type="dxa" w:w="5976"/>
          </w:tcPr>
          <w:p>
            <w:r/>
            <w:r>
              <w:rPr>
                <w:sz w:val="19"/>
              </w:rPr>
              <w:t>remove comma after yₜ and after the bar; add commas: Xᵥ, Xₜ, Y&lt;ₜ</w:t>
            </w:r>
          </w:p>
        </w:tc>
        <w:tc>
          <w:tcPr>
            <w:tcW w:type="dxa" w:w="1008"/>
          </w:tcPr>
          <w:p>
            <w:r/>
            <w:r>
              <w:rPr>
                <w:sz w:val="19"/>
              </w:rPr>
              <w:t>N3</w:t>
            </w:r>
          </w:p>
        </w:tc>
      </w:tr>
      <w:tr>
        <w:trPr>
          <w:cantSplit/>
        </w:trPr>
        <w:tc>
          <w:tcPr>
            <w:tcW w:type="dxa" w:w="504"/>
          </w:tcPr>
          <w:p>
            <w:r/>
            <w:r>
              <w:rPr>
                <w:sz w:val="19"/>
              </w:rPr>
              <w:t>4</w:t>
            </w:r>
          </w:p>
        </w:tc>
        <w:tc>
          <w:tcPr>
            <w:tcW w:type="dxa" w:w="2160"/>
          </w:tcPr>
          <w:p>
            <w:r/>
            <w:r>
              <w:rPr>
                <w:sz w:val="19"/>
              </w:rPr>
              <w:t>§3.2 equation</w:t>
            </w:r>
          </w:p>
        </w:tc>
        <w:tc>
          <w:tcPr>
            <w:tcW w:type="dxa" w:w="5976"/>
          </w:tcPr>
          <w:p>
            <w:r/>
            <w:r>
              <w:rPr>
                <w:sz w:val="19"/>
              </w:rPr>
              <w:t>two yₜ subscripts → y inside H(Y₁)</w:t>
            </w:r>
          </w:p>
        </w:tc>
        <w:tc>
          <w:tcPr>
            <w:tcW w:type="dxa" w:w="1008"/>
          </w:tcPr>
          <w:p>
            <w:r/>
            <w:r>
              <w:rPr>
                <w:sz w:val="19"/>
              </w:rPr>
              <w:t>Fix 4</w:t>
            </w:r>
          </w:p>
        </w:tc>
      </w:tr>
      <w:tr>
        <w:trPr>
          <w:cantSplit/>
        </w:trPr>
        <w:tc>
          <w:tcPr>
            <w:tcW w:type="dxa" w:w="504"/>
          </w:tcPr>
          <w:p>
            <w:r/>
            <w:r>
              <w:rPr>
                <w:sz w:val="19"/>
              </w:rPr>
              <w:t>5</w:t>
            </w:r>
          </w:p>
        </w:tc>
        <w:tc>
          <w:tcPr>
            <w:tcW w:type="dxa" w:w="2160"/>
          </w:tcPr>
          <w:p>
            <w:r/>
            <w:r>
              <w:rPr>
                <w:sz w:val="19"/>
              </w:rPr>
              <w:t>§4.4</w:t>
            </w:r>
          </w:p>
        </w:tc>
        <w:tc>
          <w:tcPr>
            <w:tcW w:type="dxa" w:w="5976"/>
          </w:tcPr>
          <w:p>
            <w:r/>
            <w:r>
              <w:rPr>
                <w:sz w:val="19"/>
              </w:rPr>
              <w:t>“two published universal baselines” → “two published baselines”</w:t>
            </w:r>
          </w:p>
        </w:tc>
        <w:tc>
          <w:tcPr>
            <w:tcW w:type="dxa" w:w="1008"/>
          </w:tcPr>
          <w:p>
            <w:r/>
            <w:r>
              <w:rPr>
                <w:sz w:val="19"/>
              </w:rPr>
              <w:t>N4</w:t>
            </w:r>
          </w:p>
        </w:tc>
      </w:tr>
      <w:tr>
        <w:trPr>
          <w:cantSplit/>
        </w:trPr>
        <w:tc>
          <w:tcPr>
            <w:tcW w:type="dxa" w:w="504"/>
          </w:tcPr>
          <w:p>
            <w:r/>
            <w:r>
              <w:rPr>
                <w:sz w:val="19"/>
              </w:rPr>
              <w:t>6</w:t>
            </w:r>
          </w:p>
        </w:tc>
        <w:tc>
          <w:tcPr>
            <w:tcW w:type="dxa" w:w="2160"/>
          </w:tcPr>
          <w:p>
            <w:r/>
            <w:r>
              <w:rPr>
                <w:sz w:val="19"/>
              </w:rPr>
              <w:t>§5 opening</w:t>
            </w:r>
          </w:p>
        </w:tc>
        <w:tc>
          <w:tcPr>
            <w:tcW w:type="dxa" w:w="5976"/>
          </w:tcPr>
          <w:p>
            <w:r/>
            <w:r>
              <w:rPr>
                <w:sz w:val="19"/>
              </w:rPr>
              <w:t>“1,664 relational pairs” → “the 833 held-out relational pairs”</w:t>
            </w:r>
          </w:p>
        </w:tc>
        <w:tc>
          <w:tcPr>
            <w:tcW w:type="dxa" w:w="1008"/>
          </w:tcPr>
          <w:p>
            <w:r/>
            <w:r>
              <w:rPr>
                <w:sz w:val="19"/>
              </w:rPr>
              <w:t>N5-a</w:t>
            </w:r>
          </w:p>
        </w:tc>
      </w:tr>
      <w:tr>
        <w:trPr>
          <w:cantSplit/>
        </w:trPr>
        <w:tc>
          <w:tcPr>
            <w:tcW w:type="dxa" w:w="504"/>
          </w:tcPr>
          <w:p>
            <w:r/>
            <w:r>
              <w:rPr>
                <w:sz w:val="19"/>
              </w:rPr>
              <w:t>7</w:t>
            </w:r>
          </w:p>
        </w:tc>
        <w:tc>
          <w:tcPr>
            <w:tcW w:type="dxa" w:w="2160"/>
          </w:tcPr>
          <w:p>
            <w:r/>
            <w:r>
              <w:rPr>
                <w:sz w:val="19"/>
              </w:rPr>
              <w:t>§5 roadmap</w:t>
            </w:r>
          </w:p>
        </w:tc>
        <w:tc>
          <w:tcPr>
            <w:tcW w:type="dxa" w:w="5976"/>
          </w:tcPr>
          <w:p>
            <w:r/>
            <w:r>
              <w:rPr>
                <w:sz w:val="19"/>
              </w:rPr>
              <w:t>“Throughout…” gains the VCD/SID clause</w:t>
            </w:r>
          </w:p>
        </w:tc>
        <w:tc>
          <w:tcPr>
            <w:tcW w:type="dxa" w:w="1008"/>
          </w:tcPr>
          <w:p>
            <w:r/>
            <w:r>
              <w:rPr>
                <w:sz w:val="19"/>
              </w:rPr>
              <w:t>N5-b</w:t>
            </w:r>
          </w:p>
        </w:tc>
      </w:tr>
      <w:tr>
        <w:trPr>
          <w:cantSplit/>
        </w:trPr>
        <w:tc>
          <w:tcPr>
            <w:tcW w:type="dxa" w:w="504"/>
          </w:tcPr>
          <w:p>
            <w:r/>
            <w:r>
              <w:rPr>
                <w:sz w:val="19"/>
              </w:rPr>
              <w:t>8</w:t>
            </w:r>
          </w:p>
        </w:tc>
        <w:tc>
          <w:tcPr>
            <w:tcW w:type="dxa" w:w="2160"/>
          </w:tcPr>
          <w:p>
            <w:r/>
            <w:r>
              <w:rPr>
                <w:sz w:val="19"/>
              </w:rPr>
              <w:t>§5.1 (optional)</w:t>
            </w:r>
          </w:p>
        </w:tc>
        <w:tc>
          <w:tcPr>
            <w:tcW w:type="dxa" w:w="5976"/>
          </w:tcPr>
          <w:p>
            <w:r/>
            <w:r>
              <w:rPr>
                <w:sz w:val="19"/>
              </w:rPr>
              <w:t>“paired items” → “paired per-item outcomes”</w:t>
            </w:r>
          </w:p>
        </w:tc>
        <w:tc>
          <w:tcPr>
            <w:tcW w:type="dxa" w:w="1008"/>
          </w:tcPr>
          <w:p>
            <w:r/>
            <w:r>
              <w:rPr>
                <w:sz w:val="19"/>
              </w:rPr>
              <w:t>N6</w:t>
            </w:r>
          </w:p>
        </w:tc>
      </w:tr>
      <w:tr>
        <w:trPr>
          <w:cantSplit/>
        </w:trPr>
        <w:tc>
          <w:tcPr>
            <w:tcW w:type="dxa" w:w="504"/>
          </w:tcPr>
          <w:p>
            <w:r/>
            <w:r>
              <w:rPr>
                <w:sz w:val="19"/>
              </w:rPr>
              <w:t>9</w:t>
            </w:r>
          </w:p>
        </w:tc>
        <w:tc>
          <w:tcPr>
            <w:tcW w:type="dxa" w:w="2160"/>
          </w:tcPr>
          <w:p>
            <w:r/>
            <w:r>
              <w:rPr>
                <w:sz w:val="19"/>
              </w:rPr>
              <w:t>§5.4</w:t>
            </w:r>
          </w:p>
        </w:tc>
        <w:tc>
          <w:tcPr>
            <w:tcW w:type="dxa" w:w="5976"/>
          </w:tcPr>
          <w:p>
            <w:r/>
            <w:r>
              <w:rPr>
                <w:sz w:val="19"/>
              </w:rPr>
              <w:t>Beyond 0.71 → 0.70; “the 71.50% baseline” → “the greedy baseline”</w:t>
            </w:r>
          </w:p>
        </w:tc>
        <w:tc>
          <w:tcPr>
            <w:tcW w:type="dxa" w:w="1008"/>
          </w:tcPr>
          <w:p>
            <w:r/>
            <w:r>
              <w:rPr>
                <w:sz w:val="19"/>
              </w:rPr>
              <w:t>Fix 3</w:t>
            </w:r>
          </w:p>
        </w:tc>
      </w:tr>
      <w:tr>
        <w:trPr>
          <w:cantSplit/>
        </w:trPr>
        <w:tc>
          <w:tcPr>
            <w:tcW w:type="dxa" w:w="504"/>
          </w:tcPr>
          <w:p>
            <w:r/>
            <w:r>
              <w:rPr>
                <w:sz w:val="19"/>
              </w:rPr>
              <w:t>10</w:t>
            </w:r>
          </w:p>
        </w:tc>
        <w:tc>
          <w:tcPr>
            <w:tcW w:type="dxa" w:w="2160"/>
          </w:tcPr>
          <w:p>
            <w:r/>
            <w:r>
              <w:rPr>
                <w:sz w:val="19"/>
              </w:rPr>
              <w:t>Appendix A intro</w:t>
            </w:r>
          </w:p>
        </w:tc>
        <w:tc>
          <w:tcPr>
            <w:tcW w:type="dxa" w:w="5976"/>
          </w:tcPr>
          <w:p>
            <w:r/>
            <w:r>
              <w:rPr>
                <w:sz w:val="19"/>
              </w:rPr>
              <w:t>broken sentence → “All seven models are listed.”</w:t>
            </w:r>
          </w:p>
        </w:tc>
        <w:tc>
          <w:tcPr>
            <w:tcW w:type="dxa" w:w="1008"/>
          </w:tcPr>
          <w:p>
            <w:r/>
            <w:r>
              <w:rPr>
                <w:sz w:val="19"/>
              </w:rPr>
              <w:t>N1-a</w:t>
            </w:r>
          </w:p>
        </w:tc>
      </w:tr>
      <w:tr>
        <w:trPr>
          <w:cantSplit/>
        </w:trPr>
        <w:tc>
          <w:tcPr>
            <w:tcW w:type="dxa" w:w="504"/>
          </w:tcPr>
          <w:p>
            <w:r/>
            <w:r>
              <w:rPr>
                <w:sz w:val="19"/>
              </w:rPr>
              <w:t>11</w:t>
            </w:r>
          </w:p>
        </w:tc>
        <w:tc>
          <w:tcPr>
            <w:tcW w:type="dxa" w:w="2160"/>
          </w:tcPr>
          <w:p>
            <w:r/>
            <w:r>
              <w:rPr>
                <w:sz w:val="19"/>
              </w:rPr>
              <w:t>Appendix A τ* list</w:t>
            </w:r>
          </w:p>
        </w:tc>
        <w:tc>
          <w:tcPr>
            <w:tcW w:type="dxa" w:w="5976"/>
          </w:tcPr>
          <w:p>
            <w:r/>
            <w:r>
              <w:rPr>
                <w:sz w:val="19"/>
              </w:rPr>
              <w:t>add “0.71 (LLaVA-v1.6-Mistral-7B)”</w:t>
            </w:r>
          </w:p>
        </w:tc>
        <w:tc>
          <w:tcPr>
            <w:tcW w:type="dxa" w:w="1008"/>
          </w:tcPr>
          <w:p>
            <w:r/>
            <w:r>
              <w:rPr>
                <w:sz w:val="19"/>
              </w:rPr>
              <w:t>N1-b</w:t>
            </w:r>
          </w:p>
        </w:tc>
      </w:tr>
      <w:tr>
        <w:trPr>
          <w:cantSplit/>
        </w:trPr>
        <w:tc>
          <w:tcPr>
            <w:tcW w:type="dxa" w:w="504"/>
          </w:tcPr>
          <w:p>
            <w:r/>
            <w:r>
              <w:rPr>
                <w:sz w:val="19"/>
              </w:rPr>
              <w:t>12</w:t>
            </w:r>
          </w:p>
        </w:tc>
        <w:tc>
          <w:tcPr>
            <w:tcW w:type="dxa" w:w="2160"/>
          </w:tcPr>
          <w:p>
            <w:r/>
            <w:r>
              <w:rPr>
                <w:sz w:val="19"/>
              </w:rPr>
              <w:t>Table A1 caption</w:t>
            </w:r>
          </w:p>
        </w:tc>
        <w:tc>
          <w:tcPr>
            <w:tcW w:type="dxa" w:w="5976"/>
          </w:tcPr>
          <w:p>
            <w:r/>
            <w:r>
              <w:rPr>
                <w:sz w:val="19"/>
              </w:rPr>
              <w:t>“for the six models with tuning-half sweeps” → “for all seven models”</w:t>
            </w:r>
          </w:p>
        </w:tc>
        <w:tc>
          <w:tcPr>
            <w:tcW w:type="dxa" w:w="1008"/>
          </w:tcPr>
          <w:p>
            <w:r/>
            <w:r>
              <w:rPr>
                <w:sz w:val="19"/>
              </w:rPr>
              <w:t>N1-c</w:t>
            </w:r>
          </w:p>
        </w:tc>
      </w:tr>
      <w:tr>
        <w:trPr>
          <w:cantSplit/>
        </w:trPr>
        <w:tc>
          <w:tcPr>
            <w:tcW w:type="dxa" w:w="504"/>
          </w:tcPr>
          <w:p>
            <w:r/>
            <w:r>
              <w:rPr>
                <w:sz w:val="19"/>
              </w:rPr>
              <w:t>13</w:t>
            </w:r>
          </w:p>
        </w:tc>
        <w:tc>
          <w:tcPr>
            <w:tcW w:type="dxa" w:w="2160"/>
          </w:tcPr>
          <w:p>
            <w:r/>
            <w:r>
              <w:rPr>
                <w:sz w:val="19"/>
              </w:rPr>
              <w:t>Table A1 body</w:t>
            </w:r>
          </w:p>
        </w:tc>
        <w:tc>
          <w:tcPr>
            <w:tcW w:type="dxa" w:w="5976"/>
          </w:tcPr>
          <w:p>
            <w:r/>
            <w:r>
              <w:rPr>
                <w:sz w:val="19"/>
              </w:rPr>
              <w:t>paste the 8-column table from TableA1_7models.docx</w:t>
            </w:r>
          </w:p>
        </w:tc>
        <w:tc>
          <w:tcPr>
            <w:tcW w:type="dxa" w:w="1008"/>
          </w:tcPr>
          <w:p>
            <w:r/>
            <w:r>
              <w:rPr>
                <w:sz w:val="19"/>
              </w:rPr>
              <w:t>N1</w:t>
            </w:r>
          </w:p>
        </w:tc>
      </w:tr>
      <w:tr>
        <w:trPr>
          <w:cantSplit/>
        </w:trPr>
        <w:tc>
          <w:tcPr>
            <w:tcW w:type="dxa" w:w="504"/>
          </w:tcPr>
          <w:p>
            <w:r/>
            <w:r>
              <w:rPr>
                <w:sz w:val="19"/>
              </w:rPr>
              <w:t>14</w:t>
            </w:r>
          </w:p>
        </w:tc>
        <w:tc>
          <w:tcPr>
            <w:tcW w:type="dxa" w:w="2160"/>
          </w:tcPr>
          <w:p>
            <w:r/>
            <w:r>
              <w:rPr>
                <w:sz w:val="19"/>
              </w:rPr>
              <w:t>Figure A2</w:t>
            </w:r>
          </w:p>
        </w:tc>
        <w:tc>
          <w:tcPr>
            <w:tcW w:type="dxa" w:w="5976"/>
          </w:tcPr>
          <w:p>
            <w:r/>
            <w:r>
              <w:rPr>
                <w:sz w:val="19"/>
              </w:rPr>
              <w:t>replace the image with the regenerated 7-model figure</w:t>
            </w:r>
          </w:p>
        </w:tc>
        <w:tc>
          <w:tcPr>
            <w:tcW w:type="dxa" w:w="1008"/>
          </w:tcPr>
          <w:p>
            <w:r/>
            <w:r>
              <w:rPr>
                <w:sz w:val="19"/>
              </w:rPr>
              <w:t>N1</w:t>
            </w:r>
          </w:p>
        </w:tc>
      </w:tr>
      <w:tr>
        <w:trPr>
          <w:cantSplit/>
        </w:trPr>
        <w:tc>
          <w:tcPr>
            <w:tcW w:type="dxa" w:w="504"/>
          </w:tcPr>
          <w:p>
            <w:r/>
            <w:r>
              <w:rPr>
                <w:sz w:val="19"/>
              </w:rPr>
              <w:t>15</w:t>
            </w:r>
          </w:p>
        </w:tc>
        <w:tc>
          <w:tcPr>
            <w:tcW w:type="dxa" w:w="2160"/>
          </w:tcPr>
          <w:p>
            <w:r/>
            <w:r>
              <w:rPr>
                <w:sz w:val="19"/>
              </w:rPr>
              <w:t>References</w:t>
            </w:r>
          </w:p>
        </w:tc>
        <w:tc>
          <w:tcPr>
            <w:tcW w:type="dxa" w:w="5976"/>
          </w:tcPr>
          <w:p>
            <w:r/>
            <w:r>
              <w:rPr>
                <w:sz w:val="19"/>
              </w:rPr>
              <w:t>Laurençon accent; Im ICLR venue (+ optional Dietterich)</w:t>
            </w:r>
          </w:p>
        </w:tc>
        <w:tc>
          <w:tcPr>
            <w:tcW w:type="dxa" w:w="1008"/>
          </w:tcPr>
          <w:p>
            <w:r/>
            <w:r>
              <w:rPr>
                <w:sz w:val="19"/>
              </w:rPr>
              <w:t>Fixes 5–6</w:t>
            </w:r>
          </w:p>
        </w:tc>
      </w:tr>
    </w:tbl>
    <w:p>
      <w:pPr>
        <w:pStyle w:val="Heading1"/>
        <w:spacing w:before="280" w:after="80"/>
      </w:pPr>
      <w:r>
        <w:rPr>
          <w:rFonts w:ascii="Calibri" w:hAnsi="Calibri"/>
          <w:color w:val="0F9D8F"/>
          <w:sz w:val="30"/>
        </w:rPr>
        <w:t>10. Do NOT change these (verified correct)</w:t>
      </w:r>
    </w:p>
    <w:p>
      <w:pPr>
        <w:pStyle w:val="ListBullet"/>
      </w:pPr>
      <w:r>
        <w:rPr>
          <w:sz w:val="21"/>
        </w:rPr>
        <w:t>“Phi-3-Vision-4.2B gains 7.31” — keep 7.31 (the unrounded delta agrees).</w:t>
      </w:r>
    </w:p>
    <w:p>
      <w:pPr>
        <w:pStyle w:val="ListBullet"/>
      </w:pPr>
      <w:r>
        <w:rPr>
          <w:sz w:val="21"/>
        </w:rPr>
        <w:t>“stays within 0.7 points of the greedy baseline” — keep 0.7.</w:t>
      </w:r>
    </w:p>
    <w:p>
      <w:pPr>
        <w:pStyle w:val="ListBullet"/>
      </w:pPr>
      <w:r>
        <w:rPr>
          <w:sz w:val="21"/>
        </w:rPr>
        <w:t>76.17 in Table A1 (Phi-3 column, τ = 0.55) — genuine sweep data; it is in the new seven-model table too.</w:t>
      </w:r>
    </w:p>
    <w:p>
      <w:pPr>
        <w:pStyle w:val="ListBullet"/>
      </w:pPr>
      <w:r>
        <w:rPr>
          <w:sz w:val="21"/>
        </w:rPr>
        <w:t>Figure A1 and its caption — already seven models, untouched.</w:t>
      </w:r>
    </w:p>
    <w:p>
      <w:pPr>
        <w:pStyle w:val="ListBullet"/>
      </w:pPr>
      <w:r>
        <w:rPr>
          <w:sz w:val="21"/>
        </w:rPr>
        <w:t>The Figure A2 caption — still true for seven models.</w:t>
      </w:r>
    </w:p>
    <w:p>
      <w:pPr>
        <w:pStyle w:val="ListBullet"/>
      </w:pPr>
      <w:r>
        <w:rPr>
          <w:sz w:val="21"/>
        </w:rPr>
        <w:t>The two ±0.00 lollipops (LLaVA-1.5 and Mistral) — correct by identity: on both models EGCD's output is exactly greedy at τ*, so the gain is 0.00 regardless of split.</w:t>
      </w:r>
    </w:p>
    <w:p>
      <w:pPr>
        <w:pStyle w:val="ListBullet"/>
      </w:pPr>
      <w:r>
        <w:rPr>
          <w:sz w:val="21"/>
        </w:rPr>
        <w:t>The Abstract's closing refrain (“applied where it heals, withheld where it harms”).</w:t>
      </w:r>
    </w:p>
    <w:p>
      <w:pPr>
        <w:spacing w:after="120"/>
      </w:pPr>
      <w:r>
        <w:rPr>
          <w:b w:val="0"/>
          <w:i w:val="0"/>
          <w:sz w:val="21"/>
        </w:rPr>
      </w:r>
    </w:p>
    <w:p>
      <w:pPr>
        <w:spacing w:after="120"/>
      </w:pPr>
      <w:r>
        <w:rPr>
          <w:b/>
          <w:i w:val="0"/>
          <w:sz w:val="21"/>
        </w:rPr>
        <w:t>Bottom line: after items 1–14 the draft is content-consistent end to end — every number traces to run data, all three Appendix A artifacts show the same seven models, the methods named in §4.4 are the ones defined in §5, and the term Visual Inertia is attributed the same way everywhere. Then send it back for the final check.</w:t>
      </w:r>
    </w:p>
    <w:sectPr w:rsidR="00FC693F" w:rsidRPr="0006063C" w:rsidSect="00034616">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