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9D8F"/>
          <w:sz w:val="40"/>
        </w:rPr>
        <w:t>EGCD Paper — Final Check of the 12th Draft</w:t>
      </w:r>
    </w:p>
    <w:p>
      <w:r>
        <w:rPr>
          <w:i/>
          <w:color w:val="6B7280"/>
          <w:sz w:val="20"/>
        </w:rPr>
        <w:t>12th_draft.docx @ res-con/main, checked against the full report_v2 checklist (15 items) plus the four fixes carried from report.docx. Scope held to text/figure/data consistency as agreed: no formatting review, and no Mistral basis language. Every FIND string below was verified against the live file and occurs exactly once.</w:t>
      </w:r>
    </w:p>
    <w:p>
      <w:pPr>
        <w:pStyle w:val="Heading1"/>
        <w:spacing w:before="280" w:after="80"/>
      </w:pPr>
      <w:r>
        <w:rPr>
          <w:rFonts w:ascii="Calibri" w:hAnsi="Calibri"/>
          <w:color w:val="0F9D8F"/>
          <w:sz w:val="30"/>
        </w:rPr>
        <w:t>1. Verdict, up front</w:t>
      </w:r>
    </w:p>
    <w:p>
      <w:pPr>
        <w:spacing w:after="80"/>
      </w:pPr>
      <w:r>
        <w:rPr>
          <w:b w:val="0"/>
          <w:i w:val="0"/>
          <w:sz w:val="21"/>
        </w:rPr>
        <w:t>Almost there. Of the 15 checklist items, 12 are applied correctly in the draft and one more (the Figure A2 image swap) is verified applied by inspecting the embedded image — 13 of 15 in total. The two open items are the Table A1 body, which is fixed by the companion file TableA1_7models.docx (its empty Mistral column is now filled — see Section 4), and the two reference entries, which are two 10-second find/replace edits (Section 3). On top of those there are two small equation residuals my earlier lists introduced or left behind: one subscript edit in §3.2 and two stray spaces in §3.1.</w:t>
      </w:r>
    </w:p>
    <w:p>
      <w:pPr>
        <w:spacing w:after="120"/>
      </w:pPr>
      <w:r>
        <w:rPr>
          <w:b/>
          <w:i w:val="0"/>
          <w:sz w:val="21"/>
        </w:rPr>
        <w:t>So the answer to “is it ready to send to my supervisor?” is: yes, after the six edits in Sections 3 and 4 below — all of them are one-pass, none touch figures or numbers, and none should take more than ten minutes together. Everything else in the draft checked out clean: every number traces to run data, all five figure captions match their images, the five-regime story is now told identically in §4.4, §5 and Table 1, and the two known do-not-touch values (7.31 and “within 0.7”) are still intact.</w:t>
      </w:r>
    </w:p>
    <w:p>
      <w:pPr>
        <w:pStyle w:val="Heading1"/>
        <w:spacing w:before="280" w:after="80"/>
      </w:pPr>
      <w:r>
        <w:rPr>
          <w:rFonts w:ascii="Calibri" w:hAnsi="Calibri"/>
          <w:color w:val="0F9D8F"/>
          <w:sz w:val="30"/>
        </w:rPr>
        <w:t>2. The 15-item checklist — status in the 12th draft</w:t>
      </w:r>
    </w:p>
    <w:tbl>
      <w:tblPr>
        <w:tblStyle w:val="TableGrid"/>
        <w:tblW w:type="auto" w:w="0"/>
        <w:jc w:val="center"/>
        <w:tblLook w:firstColumn="1" w:firstRow="1" w:lastColumn="0" w:lastRow="0" w:noHBand="0" w:noVBand="1" w:val="04A0"/>
        <w:tblCellMar>
          <w:top w:w="45" w:type="dxa"/>
          <w:left w:w="90" w:type="dxa"/>
          <w:bottom w:w="45" w:type="dxa"/>
          <w:right w:w="90" w:type="dxa"/>
        </w:tblCellMar>
      </w:tblPr>
      <w:tblGrid>
        <w:gridCol w:w="3216"/>
        <w:gridCol w:w="3216"/>
        <w:gridCol w:w="3216"/>
      </w:tblGrid>
      <w:tr>
        <w:trPr>
          <w:tblHeader w:val="true"/>
          <w:cantSplit/>
        </w:trPr>
        <w:tc>
          <w:tcPr>
            <w:tcW w:type="dxa" w:w="432"/>
            <w:shd w:val="clear" w:fill="EDF2F7"/>
          </w:tcPr>
          <w:p>
            <w:r/>
            <w:r>
              <w:rPr>
                <w:b/>
                <w:sz w:val="19"/>
              </w:rPr>
              <w:t>#</w:t>
            </w:r>
          </w:p>
        </w:tc>
        <w:tc>
          <w:tcPr>
            <w:tcW w:type="dxa" w:w="4176"/>
            <w:shd w:val="clear" w:fill="EDF2F7"/>
          </w:tcPr>
          <w:p>
            <w:r/>
            <w:r>
              <w:rPr>
                <w:b/>
                <w:sz w:val="19"/>
              </w:rPr>
              <w:t>Item</w:t>
            </w:r>
          </w:p>
        </w:tc>
        <w:tc>
          <w:tcPr>
            <w:tcW w:type="dxa" w:w="3960"/>
            <w:shd w:val="clear" w:fill="EDF2F7"/>
          </w:tcPr>
          <w:p>
            <w:r/>
            <w:r>
              <w:rPr>
                <w:b/>
                <w:sz w:val="19"/>
              </w:rPr>
              <w:t>Status in 12th draft</w:t>
            </w:r>
          </w:p>
        </w:tc>
      </w:tr>
      <w:tr>
        <w:trPr>
          <w:cantSplit/>
        </w:trPr>
        <w:tc>
          <w:tcPr>
            <w:tcW w:type="dxa" w:w="432"/>
          </w:tcPr>
          <w:p>
            <w:r/>
            <w:r>
              <w:rPr>
                <w:sz w:val="19"/>
              </w:rPr>
              <w:t>1</w:t>
            </w:r>
          </w:p>
        </w:tc>
        <w:tc>
          <w:tcPr>
            <w:tcW w:type="dxa" w:w="4176"/>
          </w:tcPr>
          <w:p>
            <w:r/>
            <w:r>
              <w:rPr>
                <w:sz w:val="19"/>
              </w:rPr>
              <w:t>Fix 1 — Table 1, Mistral SID Specificity 93.72 → 93.76</w:t>
            </w:r>
          </w:p>
        </w:tc>
        <w:tc>
          <w:tcPr>
            <w:tcW w:type="dxa" w:w="3960"/>
          </w:tcPr>
          <w:p>
            <w:r/>
            <w:r>
              <w:rPr>
                <w:sz w:val="19"/>
              </w:rPr>
              <w:t>APPLIED (row now 78.36 / 93.76 / 86.06; arithmetic checks)</w:t>
            </w:r>
          </w:p>
        </w:tc>
      </w:tr>
      <w:tr>
        <w:trPr>
          <w:cantSplit/>
        </w:trPr>
        <w:tc>
          <w:tcPr>
            <w:tcW w:type="dxa" w:w="432"/>
          </w:tcPr>
          <w:p>
            <w:r/>
            <w:r>
              <w:rPr>
                <w:sz w:val="19"/>
              </w:rPr>
              <w:t>2</w:t>
            </w:r>
          </w:p>
        </w:tc>
        <w:tc>
          <w:tcPr>
            <w:tcW w:type="dxa" w:w="4176"/>
          </w:tcPr>
          <w:p>
            <w:r/>
            <w:r>
              <w:rPr>
                <w:sz w:val="19"/>
              </w:rPr>
              <w:t>N2 — Abstract attribution of Visual Inertia</w:t>
            </w:r>
          </w:p>
        </w:tc>
        <w:tc>
          <w:tcPr>
            <w:tcW w:type="dxa" w:w="3960"/>
          </w:tcPr>
          <w:p>
            <w:r/>
            <w:r>
              <w:rPr>
                <w:sz w:val="19"/>
              </w:rPr>
              <w:t>APPLIED (“We target this mechanism, Visual Inertia, at decoding time.”)</w:t>
            </w:r>
          </w:p>
        </w:tc>
      </w:tr>
      <w:tr>
        <w:trPr>
          <w:cantSplit/>
        </w:trPr>
        <w:tc>
          <w:tcPr>
            <w:tcW w:type="dxa" w:w="432"/>
          </w:tcPr>
          <w:p>
            <w:r/>
            <w:r>
              <w:rPr>
                <w:sz w:val="19"/>
              </w:rPr>
              <w:t>3</w:t>
            </w:r>
          </w:p>
        </w:tc>
        <w:tc>
          <w:tcPr>
            <w:tcW w:type="dxa" w:w="4176"/>
          </w:tcPr>
          <w:p>
            <w:r/>
            <w:r>
              <w:rPr>
                <w:sz w:val="19"/>
              </w:rPr>
              <w:t>N3 — §3.1 equation commas</w:t>
            </w:r>
          </w:p>
        </w:tc>
        <w:tc>
          <w:tcPr>
            <w:tcW w:type="dxa" w:w="3960"/>
          </w:tcPr>
          <w:p>
            <w:r/>
            <w:r>
              <w:rPr>
                <w:sz w:val="19"/>
              </w:rPr>
              <w:t>APPLIED — but two stray double spaces remain after the commas (E2 below)</w:t>
            </w:r>
          </w:p>
        </w:tc>
      </w:tr>
      <w:tr>
        <w:trPr>
          <w:cantSplit/>
        </w:trPr>
        <w:tc>
          <w:tcPr>
            <w:tcW w:type="dxa" w:w="432"/>
          </w:tcPr>
          <w:p>
            <w:r/>
            <w:r>
              <w:rPr>
                <w:sz w:val="19"/>
              </w:rPr>
              <w:t>4</w:t>
            </w:r>
          </w:p>
        </w:tc>
        <w:tc>
          <w:tcPr>
            <w:tcW w:type="dxa" w:w="4176"/>
          </w:tcPr>
          <w:p>
            <w:r/>
            <w:r>
              <w:rPr>
                <w:sz w:val="19"/>
              </w:rPr>
              <w:t>Fix 4 — §3.2: two yₜ → y inside H(Y₁)</w:t>
            </w:r>
          </w:p>
        </w:tc>
        <w:tc>
          <w:tcPr>
            <w:tcW w:type="dxa" w:w="3960"/>
          </w:tcPr>
          <w:p>
            <w:r/>
            <w:r>
              <w:rPr>
                <w:sz w:val="19"/>
              </w:rPr>
              <w:t>NOT APPLIED — still yₜ in both terms (E1 below)</w:t>
            </w:r>
          </w:p>
        </w:tc>
      </w:tr>
      <w:tr>
        <w:trPr>
          <w:cantSplit/>
        </w:trPr>
        <w:tc>
          <w:tcPr>
            <w:tcW w:type="dxa" w:w="432"/>
          </w:tcPr>
          <w:p>
            <w:r/>
            <w:r>
              <w:rPr>
                <w:sz w:val="19"/>
              </w:rPr>
              <w:t>5</w:t>
            </w:r>
          </w:p>
        </w:tc>
        <w:tc>
          <w:tcPr>
            <w:tcW w:type="dxa" w:w="4176"/>
          </w:tcPr>
          <w:p>
            <w:r/>
            <w:r>
              <w:rPr>
                <w:sz w:val="19"/>
              </w:rPr>
              <w:t>N4 — “two published universal baselines” → “two published baselines”</w:t>
            </w:r>
          </w:p>
        </w:tc>
        <w:tc>
          <w:tcPr>
            <w:tcW w:type="dxa" w:w="3960"/>
          </w:tcPr>
          <w:p>
            <w:r/>
            <w:r>
              <w:rPr>
                <w:sz w:val="19"/>
              </w:rPr>
              <w:t>APPLIED</w:t>
            </w:r>
          </w:p>
        </w:tc>
      </w:tr>
      <w:tr>
        <w:trPr>
          <w:cantSplit/>
        </w:trPr>
        <w:tc>
          <w:tcPr>
            <w:tcW w:type="dxa" w:w="432"/>
          </w:tcPr>
          <w:p>
            <w:r/>
            <w:r>
              <w:rPr>
                <w:sz w:val="19"/>
              </w:rPr>
              <w:t>6</w:t>
            </w:r>
          </w:p>
        </w:tc>
        <w:tc>
          <w:tcPr>
            <w:tcW w:type="dxa" w:w="4176"/>
          </w:tcPr>
          <w:p>
            <w:r/>
            <w:r>
              <w:rPr>
                <w:sz w:val="19"/>
              </w:rPr>
              <w:t>N5-a — §5 opening: 1,664 → the 833 held-out pairs</w:t>
            </w:r>
          </w:p>
        </w:tc>
        <w:tc>
          <w:tcPr>
            <w:tcW w:type="dxa" w:w="3960"/>
          </w:tcPr>
          <w:p>
            <w:r/>
            <w:r>
              <w:rPr>
                <w:sz w:val="19"/>
              </w:rPr>
              <w:t>APPLIED</w:t>
            </w:r>
          </w:p>
        </w:tc>
      </w:tr>
      <w:tr>
        <w:trPr>
          <w:cantSplit/>
        </w:trPr>
        <w:tc>
          <w:tcPr>
            <w:tcW w:type="dxa" w:w="432"/>
          </w:tcPr>
          <w:p>
            <w:r/>
            <w:r>
              <w:rPr>
                <w:sz w:val="19"/>
              </w:rPr>
              <w:t>7</w:t>
            </w:r>
          </w:p>
        </w:tc>
        <w:tc>
          <w:tcPr>
            <w:tcW w:type="dxa" w:w="4176"/>
          </w:tcPr>
          <w:p>
            <w:r/>
            <w:r>
              <w:rPr>
                <w:sz w:val="19"/>
              </w:rPr>
              <w:t>N5-b — Throughout sentence names VCD and SID</w:t>
            </w:r>
          </w:p>
        </w:tc>
        <w:tc>
          <w:tcPr>
            <w:tcW w:type="dxa" w:w="3960"/>
          </w:tcPr>
          <w:p>
            <w:r/>
            <w:r>
              <w:rPr>
                <w:sz w:val="19"/>
              </w:rPr>
              <w:t>APPLIED</w:t>
            </w:r>
          </w:p>
        </w:tc>
      </w:tr>
      <w:tr>
        <w:trPr>
          <w:cantSplit/>
        </w:trPr>
        <w:tc>
          <w:tcPr>
            <w:tcW w:type="dxa" w:w="432"/>
          </w:tcPr>
          <w:p>
            <w:r/>
            <w:r>
              <w:rPr>
                <w:sz w:val="19"/>
              </w:rPr>
              <w:t>8</w:t>
            </w:r>
          </w:p>
        </w:tc>
        <w:tc>
          <w:tcPr>
            <w:tcW w:type="dxa" w:w="4176"/>
          </w:tcPr>
          <w:p>
            <w:r/>
            <w:r>
              <w:rPr>
                <w:sz w:val="19"/>
              </w:rPr>
              <w:t>N6 — McNemar kept; Dietterich (1998) cited + referenced</w:t>
            </w:r>
          </w:p>
        </w:tc>
        <w:tc>
          <w:tcPr>
            <w:tcW w:type="dxa" w:w="3960"/>
          </w:tcPr>
          <w:p>
            <w:r/>
            <w:r>
              <w:rPr>
                <w:sz w:val="19"/>
              </w:rPr>
              <w:t>APPLIED (both); optional wording tweak still open (O1 below)</w:t>
            </w:r>
          </w:p>
        </w:tc>
      </w:tr>
      <w:tr>
        <w:trPr>
          <w:cantSplit/>
        </w:trPr>
        <w:tc>
          <w:tcPr>
            <w:tcW w:type="dxa" w:w="432"/>
          </w:tcPr>
          <w:p>
            <w:r/>
            <w:r>
              <w:rPr>
                <w:sz w:val="19"/>
              </w:rPr>
              <w:t>9</w:t>
            </w:r>
          </w:p>
        </w:tc>
        <w:tc>
          <w:tcPr>
            <w:tcW w:type="dxa" w:w="4176"/>
          </w:tcPr>
          <w:p>
            <w:r/>
            <w:r>
              <w:rPr>
                <w:sz w:val="19"/>
              </w:rPr>
              <w:t>Fix 3 — §5.4: Beyond 0.70 … the greedy baseline</w:t>
            </w:r>
          </w:p>
        </w:tc>
        <w:tc>
          <w:tcPr>
            <w:tcW w:type="dxa" w:w="3960"/>
          </w:tcPr>
          <w:p>
            <w:r/>
            <w:r>
              <w:rPr>
                <w:sz w:val="19"/>
              </w:rPr>
              <w:t>APPLIED</w:t>
            </w:r>
          </w:p>
        </w:tc>
      </w:tr>
      <w:tr>
        <w:trPr>
          <w:cantSplit/>
        </w:trPr>
        <w:tc>
          <w:tcPr>
            <w:tcW w:type="dxa" w:w="432"/>
          </w:tcPr>
          <w:p>
            <w:r/>
            <w:r>
              <w:rPr>
                <w:sz w:val="19"/>
              </w:rPr>
              <w:t>10</w:t>
            </w:r>
          </w:p>
        </w:tc>
        <w:tc>
          <w:tcPr>
            <w:tcW w:type="dxa" w:w="4176"/>
          </w:tcPr>
          <w:p>
            <w:r/>
            <w:r>
              <w:rPr>
                <w:sz w:val="19"/>
              </w:rPr>
              <w:t>N1-a — Appendix A intro rewritten</w:t>
            </w:r>
          </w:p>
        </w:tc>
        <w:tc>
          <w:tcPr>
            <w:tcW w:type="dxa" w:w="3960"/>
          </w:tcPr>
          <w:p>
            <w:r/>
            <w:r>
              <w:rPr>
                <w:sz w:val="19"/>
              </w:rPr>
              <w:t>APPLIED (no broken sentence, no basis language)</w:t>
            </w:r>
          </w:p>
        </w:tc>
      </w:tr>
      <w:tr>
        <w:trPr>
          <w:cantSplit/>
        </w:trPr>
        <w:tc>
          <w:tcPr>
            <w:tcW w:type="dxa" w:w="432"/>
          </w:tcPr>
          <w:p>
            <w:r/>
            <w:r>
              <w:rPr>
                <w:sz w:val="19"/>
              </w:rPr>
              <w:t>11</w:t>
            </w:r>
          </w:p>
        </w:tc>
        <w:tc>
          <w:tcPr>
            <w:tcW w:type="dxa" w:w="4176"/>
          </w:tcPr>
          <w:p>
            <w:r/>
            <w:r>
              <w:rPr>
                <w:sz w:val="19"/>
              </w:rPr>
              <w:t>N1-b — τ* list gains 0.71 (LLaVA-v1.6-Mistral-7B)</w:t>
            </w:r>
          </w:p>
        </w:tc>
        <w:tc>
          <w:tcPr>
            <w:tcW w:type="dxa" w:w="3960"/>
          </w:tcPr>
          <w:p>
            <w:r/>
            <w:r>
              <w:rPr>
                <w:sz w:val="19"/>
              </w:rPr>
              <w:t>APPLIED</w:t>
            </w:r>
          </w:p>
        </w:tc>
      </w:tr>
      <w:tr>
        <w:trPr>
          <w:cantSplit/>
        </w:trPr>
        <w:tc>
          <w:tcPr>
            <w:tcW w:type="dxa" w:w="432"/>
          </w:tcPr>
          <w:p>
            <w:r/>
            <w:r>
              <w:rPr>
                <w:sz w:val="19"/>
              </w:rPr>
              <w:t>12</w:t>
            </w:r>
          </w:p>
        </w:tc>
        <w:tc>
          <w:tcPr>
            <w:tcW w:type="dxa" w:w="4176"/>
          </w:tcPr>
          <w:p>
            <w:r/>
            <w:r>
              <w:rPr>
                <w:sz w:val="19"/>
              </w:rPr>
              <w:t>N1-c — Table A1 caption “for all seven models”</w:t>
            </w:r>
          </w:p>
        </w:tc>
        <w:tc>
          <w:tcPr>
            <w:tcW w:type="dxa" w:w="3960"/>
          </w:tcPr>
          <w:p>
            <w:r/>
            <w:r>
              <w:rPr>
                <w:sz w:val="19"/>
              </w:rPr>
              <w:t>APPLIED</w:t>
            </w:r>
          </w:p>
        </w:tc>
      </w:tr>
      <w:tr>
        <w:trPr>
          <w:cantSplit/>
        </w:trPr>
        <w:tc>
          <w:tcPr>
            <w:tcW w:type="dxa" w:w="432"/>
          </w:tcPr>
          <w:p>
            <w:r/>
            <w:r>
              <w:rPr>
                <w:sz w:val="19"/>
              </w:rPr>
              <w:t>13</w:t>
            </w:r>
          </w:p>
        </w:tc>
        <w:tc>
          <w:tcPr>
            <w:tcW w:type="dxa" w:w="4176"/>
          </w:tcPr>
          <w:p>
            <w:r/>
            <w:r>
              <w:rPr>
                <w:sz w:val="19"/>
              </w:rPr>
              <w:t>N1 — Table A1 body pasted as 8 columns</w:t>
            </w:r>
          </w:p>
        </w:tc>
        <w:tc>
          <w:tcPr>
            <w:tcW w:type="dxa" w:w="3960"/>
          </w:tcPr>
          <w:p>
            <w:r/>
            <w:r>
              <w:rPr>
                <w:sz w:val="19"/>
              </w:rPr>
              <w:t>OPEN — the draft still holds the six-model grid; fixed by the new TableA1_7models.docx</w:t>
            </w:r>
          </w:p>
        </w:tc>
      </w:tr>
      <w:tr>
        <w:trPr>
          <w:cantSplit/>
        </w:trPr>
        <w:tc>
          <w:tcPr>
            <w:tcW w:type="dxa" w:w="432"/>
          </w:tcPr>
          <w:p>
            <w:r/>
            <w:r>
              <w:rPr>
                <w:sz w:val="19"/>
              </w:rPr>
              <w:t>14</w:t>
            </w:r>
          </w:p>
        </w:tc>
        <w:tc>
          <w:tcPr>
            <w:tcW w:type="dxa" w:w="4176"/>
          </w:tcPr>
          <w:p>
            <w:r/>
            <w:r>
              <w:rPr>
                <w:sz w:val="19"/>
              </w:rPr>
              <w:t>N1 — Figure A2 swapped to the 7-model figure</w:t>
            </w:r>
          </w:p>
        </w:tc>
        <w:tc>
          <w:tcPr>
            <w:tcW w:type="dxa" w:w="3960"/>
          </w:tcPr>
          <w:p>
            <w:r/>
            <w:r>
              <w:rPr>
                <w:sz w:val="19"/>
              </w:rPr>
              <w:t>APPLIED — embedded image verified: 7 lollipops incl. Mistral ±0.00 (τ* = 0.71)</w:t>
            </w:r>
          </w:p>
        </w:tc>
      </w:tr>
      <w:tr>
        <w:trPr>
          <w:cantSplit/>
        </w:trPr>
        <w:tc>
          <w:tcPr>
            <w:tcW w:type="dxa" w:w="432"/>
          </w:tcPr>
          <w:p>
            <w:r/>
            <w:r>
              <w:rPr>
                <w:sz w:val="19"/>
              </w:rPr>
              <w:t>15</w:t>
            </w:r>
          </w:p>
        </w:tc>
        <w:tc>
          <w:tcPr>
            <w:tcW w:type="dxa" w:w="4176"/>
          </w:tcPr>
          <w:p>
            <w:r/>
            <w:r>
              <w:rPr>
                <w:sz w:val="19"/>
              </w:rPr>
              <w:t>References — Dietterich added; Laurençon accent; Im venue</w:t>
            </w:r>
          </w:p>
        </w:tc>
        <w:tc>
          <w:tcPr>
            <w:tcW w:type="dxa" w:w="3960"/>
          </w:tcPr>
          <w:p>
            <w:r/>
            <w:r>
              <w:rPr>
                <w:sz w:val="19"/>
              </w:rPr>
              <w:t>HALF — Dietterich APPLIED; Laurençon and Im still open (R3, R4 below)</w:t>
            </w:r>
          </w:p>
        </w:tc>
      </w:tr>
    </w:tbl>
    <w:p>
      <w:pPr>
        <w:spacing w:after="120"/>
      </w:pPr>
      <w:r>
        <w:rPr>
          <w:b w:val="0"/>
          <w:i w:val="0"/>
          <w:sz w:val="21"/>
        </w:rPr>
      </w:r>
    </w:p>
    <w:p>
      <w:pPr>
        <w:spacing w:after="80"/>
      </w:pPr>
      <w:r>
        <w:rPr>
          <w:b w:val="0"/>
          <w:i w:val="0"/>
          <w:sz w:val="21"/>
        </w:rPr>
        <w:t>The one item you could not apply was #13: the TableA1_7models.docx shipped earlier genuinely had an empty LLaVA-v1.6-Mistral-7B column — a bug in my table builder, not a gap in your data. The sweep numbers existed all along (they are the same 21 points already plotted in Figures 6, 7 and A2); the build script simply never wrote the seventh column into the table body. It is fixed and regenerated — details in Section 4.</w:t>
      </w:r>
    </w:p>
    <w:p>
      <w:pPr>
        <w:pStyle w:val="Heading1"/>
        <w:spacing w:before="280" w:after="80"/>
      </w:pPr>
      <w:r>
        <w:rPr>
          <w:rFonts w:ascii="Calibri" w:hAnsi="Calibri"/>
          <w:color w:val="0F9D8F"/>
          <w:sz w:val="30"/>
        </w:rPr>
        <w:t>3. The four remaining content edits</w:t>
      </w:r>
    </w:p>
    <w:p>
      <w:pPr>
        <w:spacing w:after="40"/>
      </w:pPr>
      <w:r>
        <w:rPr>
          <w:b w:val="0"/>
          <w:i w:val="0"/>
          <w:sz w:val="21"/>
        </w:rPr>
        <w:t>E1 — §3.2 entropy equation (mandatory, was Fix 4). The equation still reads with yₜ inside both probability terms, while the summation index and Algorithm 1 both use plain y:</w:t>
      </w:r>
    </w:p>
    <w:p>
      <w:pPr>
        <w:spacing w:after="40"/>
      </w:pPr>
      <w:r>
        <w:rPr>
          <w:b/>
          <w:color w:val="1F2937"/>
          <w:sz w:val="19"/>
        </w:rPr>
        <w:t>CURRENT:</w:t>
      </w:r>
    </w:p>
    <w:p>
      <w:pPr>
        <w:spacing w:after="120"/>
        <w:ind w:left="360"/>
      </w:pPr>
      <w:r>
        <w:rPr>
          <w:rFonts w:ascii="Courier New" w:hAnsi="Courier New"/>
          <w:color w:val="1F2937"/>
          <w:sz w:val="19"/>
        </w:rPr>
        <w:t>H(Y₁) = − Σₘᵧₜₐₓ P_std(yₜ ∣ Xᵥ, Xₜ) log P_std(yₜ ∣ Xᵥ, Xₜ)</w:t>
      </w:r>
    </w:p>
    <w:p>
      <w:pPr>
        <w:spacing w:after="40"/>
      </w:pPr>
      <w:r>
        <w:rPr>
          <w:b/>
          <w:color w:val="1F2937"/>
          <w:sz w:val="19"/>
        </w:rPr>
        <w:t>TARGET:</w:t>
      </w:r>
    </w:p>
    <w:p>
      <w:pPr>
        <w:spacing w:after="120"/>
        <w:ind w:left="360"/>
      </w:pPr>
      <w:r>
        <w:rPr>
          <w:rFonts w:ascii="Courier New" w:hAnsi="Courier New"/>
          <w:color w:val="1F2937"/>
          <w:sz w:val="19"/>
        </w:rPr>
        <w:t>H(Y₁) = − Σₘᵧₜₐₓ P_std(y ∣ Xᵥ, Xₜ) log P_std(y ∣ Xᵥ, Xₜ)</w:t>
      </w:r>
    </w:p>
    <w:p>
      <w:pPr>
        <w:spacing w:after="120"/>
      </w:pPr>
      <w:r>
        <w:rPr>
          <w:b w:val="0"/>
          <w:i w:val="0"/>
          <w:sz w:val="21"/>
        </w:rPr>
        <w:t>How: double-click the equation, click the small subscript box after the y in each of the two P_std terms, delete the t and the now-empty subscript slot. The line to imitate is already in your Algorithm 1, step 2: “H(Y₁) ← − Σₘᵧₜₐₓ P_std(y) log P_std(y)”.</w:t>
      </w:r>
    </w:p>
    <w:p>
      <w:pPr>
        <w:spacing w:after="40"/>
      </w:pPr>
      <w:r>
        <w:rPr>
          <w:b w:val="0"/>
          <w:i w:val="0"/>
          <w:sz w:val="21"/>
        </w:rPr>
        <w:t>E2 — §3.1 standard-pass equation (residual of the comma fix). The commas are now correct, but the equation still carries two literal double spaces left over from the old text, one after each separator comma, so it renders with wide gaps:</w:t>
      </w:r>
    </w:p>
    <w:p>
      <w:pPr>
        <w:spacing w:after="40"/>
      </w:pPr>
      <w:r>
        <w:rPr>
          <w:b/>
          <w:color w:val="1F2937"/>
          <w:sz w:val="19"/>
        </w:rPr>
        <w:t>CURRENT:</w:t>
      </w:r>
    </w:p>
    <w:p>
      <w:pPr>
        <w:spacing w:after="120"/>
        <w:ind w:left="360"/>
      </w:pPr>
      <w:r>
        <w:rPr>
          <w:rFonts w:ascii="Courier New" w:hAnsi="Courier New"/>
          <w:color w:val="1F2937"/>
          <w:sz w:val="19"/>
        </w:rPr>
        <w:t>P_std(yₜ | Xᵥ, Xₜ, Y₀ₜ) = softmax(z_std(yₜ))   ← visible extra space after each comma</w:t>
      </w:r>
    </w:p>
    <w:p>
      <w:pPr>
        <w:spacing w:after="40"/>
      </w:pPr>
      <w:r>
        <w:rPr>
          <w:b/>
          <w:color w:val="1F2937"/>
          <w:sz w:val="19"/>
        </w:rPr>
        <w:t>TARGET:</w:t>
      </w:r>
    </w:p>
    <w:p>
      <w:pPr>
        <w:spacing w:after="120"/>
        <w:ind w:left="360"/>
      </w:pPr>
      <w:r>
        <w:rPr>
          <w:rFonts w:ascii="Courier New" w:hAnsi="Courier New"/>
          <w:color w:val="1F2937"/>
          <w:sz w:val="19"/>
        </w:rPr>
        <w:t>P_std(yₜ | Xᵥ, Xₜ, Y₀ₜ) = softmax(z_std(yₜ))</w:t>
      </w:r>
    </w:p>
    <w:p>
      <w:pPr>
        <w:spacing w:after="120"/>
      </w:pPr>
      <w:r>
        <w:rPr>
          <w:b w:val="0"/>
          <w:i w:val="0"/>
          <w:sz w:val="21"/>
        </w:rPr>
        <w:t>How: click into the equation, put the cursor right after the comma following Xᵥ and delete one space; repeat after the comma following Xₜ. Nothing else in the equation changes.</w:t>
      </w:r>
    </w:p>
    <w:p>
      <w:pPr>
        <w:spacing w:after="40"/>
      </w:pPr>
      <w:r>
        <w:rPr>
          <w:b w:val="0"/>
          <w:i w:val="0"/>
          <w:sz w:val="21"/>
        </w:rPr>
        <w:t>R3 — Laurençon accent in the reference entry (the in-text cites at §4.2 already carry the ç; only the bibliography line is missing it):</w:t>
      </w:r>
    </w:p>
    <w:p>
      <w:pPr>
        <w:spacing w:after="40"/>
      </w:pPr>
      <w:r>
        <w:rPr>
          <w:b/>
          <w:color w:val="1F2937"/>
          <w:sz w:val="19"/>
        </w:rPr>
        <w:t>R3  FIND:</w:t>
      </w:r>
    </w:p>
    <w:p>
      <w:pPr>
        <w:spacing w:after="120"/>
        <w:ind w:left="360"/>
      </w:pPr>
      <w:r>
        <w:rPr>
          <w:rFonts w:ascii="Courier New" w:hAnsi="Courier New"/>
          <w:color w:val="1F2937"/>
          <w:sz w:val="19"/>
        </w:rPr>
        <w:t>Laurencon, H., Saulnier, L., Tronchon, L., et al. (2024).</w:t>
      </w:r>
    </w:p>
    <w:p>
      <w:pPr>
        <w:spacing w:after="40"/>
      </w:pPr>
      <w:r>
        <w:rPr>
          <w:b/>
          <w:color w:val="0F9D8F"/>
          <w:sz w:val="19"/>
        </w:rPr>
        <w:t>REPLACE WITH:</w:t>
      </w:r>
    </w:p>
    <w:p>
      <w:pPr>
        <w:spacing w:after="120"/>
        <w:ind w:left="360"/>
      </w:pPr>
      <w:r>
        <w:rPr>
          <w:rFonts w:ascii="Courier New" w:hAnsi="Courier New"/>
          <w:color w:val="1F2937"/>
          <w:sz w:val="19"/>
        </w:rPr>
        <w:t>Laurençon, H., Saulnier, L., Tronchon, L., et al. (2024).</w:t>
      </w:r>
    </w:p>
    <w:p>
      <w:pPr>
        <w:spacing w:after="40"/>
      </w:pPr>
      <w:r>
        <w:rPr>
          <w:b w:val="0"/>
          <w:i w:val="0"/>
          <w:sz w:val="21"/>
        </w:rPr>
        <w:t>R4 — Im et al. venue: your other three ICLR entries (Chuang, Huo, Xiao) all use the short form; make the fourth match:</w:t>
      </w:r>
    </w:p>
    <w:p>
      <w:pPr>
        <w:spacing w:after="40"/>
      </w:pPr>
      <w:r>
        <w:rPr>
          <w:b/>
          <w:color w:val="1F2937"/>
          <w:sz w:val="19"/>
        </w:rPr>
        <w:t>R4  FIND:</w:t>
      </w:r>
    </w:p>
    <w:p>
      <w:pPr>
        <w:spacing w:after="120"/>
        <w:ind w:left="360"/>
      </w:pPr>
      <w:r>
        <w:rPr>
          <w:rFonts w:ascii="Courier New" w:hAnsi="Courier New"/>
          <w:color w:val="1F2937"/>
          <w:sz w:val="19"/>
        </w:rPr>
        <w:t>In Proceedings of the International Conference on Learning Representations (ICLR).</w:t>
      </w:r>
    </w:p>
    <w:p>
      <w:pPr>
        <w:spacing w:after="40"/>
      </w:pPr>
      <w:r>
        <w:rPr>
          <w:b/>
          <w:color w:val="0F9D8F"/>
          <w:sz w:val="19"/>
        </w:rPr>
        <w:t>REPLACE WITH:</w:t>
      </w:r>
    </w:p>
    <w:p>
      <w:pPr>
        <w:spacing w:after="120"/>
        <w:ind w:left="360"/>
      </w:pPr>
      <w:r>
        <w:rPr>
          <w:rFonts w:ascii="Courier New" w:hAnsi="Courier New"/>
          <w:color w:val="1F2937"/>
          <w:sz w:val="19"/>
        </w:rPr>
        <w:t>In International Conference on Learning Representations (ICLR).</w:t>
      </w:r>
    </w:p>
    <w:p>
      <w:pPr>
        <w:pStyle w:val="Heading1"/>
        <w:spacing w:before="280" w:after="80"/>
      </w:pPr>
      <w:r>
        <w:rPr>
          <w:rFonts w:ascii="Calibri" w:hAnsi="Calibri"/>
          <w:color w:val="0F9D8F"/>
          <w:sz w:val="30"/>
        </w:rPr>
        <w:t>4. Table A1 — regenerated complete, how to paste</w:t>
      </w:r>
    </w:p>
    <w:p>
      <w:pPr>
        <w:spacing w:after="80"/>
      </w:pPr>
      <w:r>
        <w:rPr>
          <w:b w:val="0"/>
          <w:i w:val="0"/>
          <w:sz w:val="21"/>
        </w:rPr>
        <w:t>The regenerated TableA1_7models.docx now carries all 22 rows × 8 columns with every cell filled: the six tuning-half columns are byte-identical to the grid already in your draft, and the new LLaVA-v1.6-Mistral-7B column is the same 21-point sweep already plotted in Figures 6, 7 and A2 (77.41 at τ = 0.55 rising to its 86.06 plateau from τ = 0.71 onward). The builder asserts that each column's maximum sits at that model's τ* — it passes for all seven — and the τ* cells are bold on the teal tint, one per column: 0.70, 0.62, 0.68, 0.65, 0.69, 0.70, 0.71.</w:t>
      </w:r>
    </w:p>
    <w:p>
      <w:pPr>
        <w:spacing w:after="80"/>
      </w:pPr>
      <w:r>
        <w:rPr>
          <w:b w:val="0"/>
          <w:i w:val="0"/>
          <w:sz w:val="21"/>
        </w:rPr>
        <w:t>Cross-checks that make the new column safe to paste: its peak (86.06) equals the Mistral balanced accuracy already printed in Table 1 and quoted in §5.3; the Figure A2 lollipops recompute exactly from these columns (+8.61 = 77.08−68.47 for Phi-3, +6.43 = 78.00−71.57 for Qwen2-VL, +3.35 = 67.02−63.67, +1.88 = 80.92−79.04, +0.24 = 81.75−81.51, ±0.00 for both LLaVAs); and §5.4's claims all stay true (Qwen2-VL declines beyond 0.70; Idefics2 never leaves its 0.7-point band: 81.11–81.75).</w:t>
      </w:r>
    </w:p>
    <w:p>
      <w:pPr>
        <w:spacing w:after="120"/>
      </w:pPr>
      <w:r>
        <w:rPr>
          <w:b w:val="0"/>
          <w:i w:val="0"/>
          <w:sz w:val="21"/>
        </w:rPr>
        <w:t>Paste procedure: select the whole six-model grid under the Table A1 caption in Appendix A, delete it, and insert the table from TableA1_7models.docx (keep your caption line — it is already correct). Delete the italic instruction line that travels with the file. A side benefit: the new header spells the first cell with the lowercase τ, which retires the old capital-T (Τ, U+03A4) header quirk without a separate edit.</w:t>
      </w:r>
    </w:p>
    <w:p>
      <w:pPr>
        <w:pStyle w:val="Heading1"/>
        <w:spacing w:before="280" w:after="80"/>
      </w:pPr>
      <w:r>
        <w:rPr>
          <w:rFonts w:ascii="Calibri" w:hAnsi="Calibri"/>
          <w:color w:val="0F9D8F"/>
          <w:sz w:val="30"/>
        </w:rPr>
        <w:t>5. Optional polish — recommended, none blocking</w:t>
      </w:r>
    </w:p>
    <w:p>
      <w:pPr>
        <w:pStyle w:val="ListBullet"/>
      </w:pPr>
      <w:r>
        <w:rPr>
          <w:sz w:val="21"/>
        </w:rPr>
        <w:t xml:space="preserve">O1 — §5.1: name what McNemar compares (from report_v2 N6). </w:t>
      </w:r>
      <w:r>
        <w:rPr>
          <w:sz w:val="21"/>
        </w:rPr>
        <w:t>FIND “on paired items (p = 0.002)” → REPLACE WITH “on paired per-item outcomes (p = 0.002)”. You applied the Dietterich citation half of N6; this wording half is still open.</w:t>
      </w:r>
    </w:p>
    <w:p>
      <w:pPr>
        <w:pStyle w:val="ListBullet"/>
      </w:pPr>
      <w:r>
        <w:rPr>
          <w:sz w:val="21"/>
        </w:rPr>
        <w:t>O2 — Abstract: “structurally sound models such as LLaVA models” → “such as the LLaVA models” (still missing the article).</w:t>
      </w:r>
    </w:p>
    <w:p>
      <w:pPr>
        <w:pStyle w:val="ListBullet"/>
      </w:pPr>
      <w:r>
        <w:rPr>
          <w:sz w:val="21"/>
        </w:rPr>
        <w:t>O3 — §5.4 gate paragraph parenthetical: “or LLaVA-v1.6-Mistral-7B. Shuffled routing” → “or LLaVA-v1.6-Mistral-7B (the fraction of held-out queries whose first-token entropy exceeds each model’s τ*). Shuffled routing”.</w:t>
      </w:r>
    </w:p>
    <w:p>
      <w:pPr>
        <w:pStyle w:val="Heading1"/>
        <w:spacing w:before="280" w:after="80"/>
      </w:pPr>
      <w:r>
        <w:rPr>
          <w:rFonts w:ascii="Calibri" w:hAnsi="Calibri"/>
          <w:color w:val="0F9D8F"/>
          <w:sz w:val="30"/>
        </w:rPr>
        <w:t>6. What I verified as already correct (no action)</w:t>
      </w:r>
    </w:p>
    <w:p>
      <w:pPr>
        <w:pStyle w:val="ListBullet"/>
      </w:pPr>
      <w:r>
        <w:rPr>
          <w:sz w:val="21"/>
        </w:rPr>
        <w:t>All headline numbers re-traced: 71.50→80.89 (+9.39), 70.18→77.50 (+7.31), 63.80→68.07, 63.06 collapse (13.7 points), 10.42 on Mistral, 3.11 over CD, p = 0.002 / p &gt; 0.99 / 0.032, gate routing 40.9 / 38.8 / 28.2 / 13.2 / 2.2 / none × 2, shuffled 64.96 vs 68.07, 74.04 vs 80.89, 72.97 vs 77.50, suite-wide τ = 0.69 → 73.19 vs 76.78.</w:t>
      </w:r>
    </w:p>
    <w:p>
      <w:pPr>
        <w:pStyle w:val="ListBullet"/>
      </w:pPr>
      <w:r>
        <w:rPr>
          <w:sz w:val="21"/>
        </w:rPr>
        <w:t>Table 1 internal arithmetic: balanced accuracy = mean(Recall, Specificity) holds on all 35 rows, including the corrected Mistral SID row (78.36 + 93.76)/2 = 86.06.</w:t>
      </w:r>
    </w:p>
    <w:p>
      <w:pPr>
        <w:pStyle w:val="ListBullet"/>
      </w:pPr>
      <w:r>
        <w:rPr>
          <w:sz w:val="21"/>
        </w:rPr>
        <w:t>Figure set consistent end to end: Fig2 seven models; Fig4 four bias-affected; Fig5 four with stars at 0.70/0.62/0.68/0.65; Fig6 three sound incl. Mistral at τ* = 0.71; Fig7 seven curves; FigA1 seven-by-five heatmaps; FigA2 seven lollipops (image inspected inside the docx). Every caption matches its image.</w:t>
      </w:r>
    </w:p>
    <w:p>
      <w:pPr>
        <w:pStyle w:val="ListBullet"/>
      </w:pPr>
      <w:r>
        <w:rPr>
          <w:sz w:val="21"/>
        </w:rPr>
        <w:t>Do-not-touch list respected: “gains 7.31” and “stays within 0.7 points” are unchanged; the two ±0.00 lollipops remain.</w:t>
      </w:r>
    </w:p>
    <w:p>
      <w:pPr>
        <w:pStyle w:val="ListBullet"/>
      </w:pPr>
      <w:r>
        <w:rPr>
          <w:sz w:val="21"/>
        </w:rPr>
        <w:t>Visual Inertia is now attributed to Gong et al. at every use (Abstract, §2.1, Contribution 1, §3.1) — no stray first-person coinage anywhere.</w:t>
      </w:r>
    </w:p>
    <w:p>
      <w:pPr>
        <w:pStyle w:val="Heading1"/>
        <w:spacing w:before="280" w:after="80"/>
      </w:pPr>
      <w:r>
        <w:rPr>
          <w:rFonts w:ascii="Calibri" w:hAnsi="Calibri"/>
          <w:color w:val="0F9D8F"/>
          <w:sz w:val="30"/>
        </w:rPr>
        <w:t>7. Hand-off notes for the Overleaf pass (out of scope here)</w:t>
      </w:r>
    </w:p>
    <w:p>
      <w:pPr>
        <w:spacing w:after="40"/>
      </w:pPr>
      <w:r>
        <w:rPr>
          <w:b w:val="0"/>
          <w:i w:val="0"/>
          <w:sz w:val="21"/>
        </w:rPr>
        <w:t>Not review findings — just the known Word artifacts your formatter will want on the list, so they survive the hand-off:</w:t>
      </w:r>
    </w:p>
    <w:p>
      <w:pPr>
        <w:pStyle w:val="ListBullet"/>
      </w:pPr>
      <w:r>
        <w:rPr>
          <w:sz w:val="21"/>
        </w:rPr>
        <w:t>Roughly 18 empty paragraphs still carry the Heading 1 style (after the title, around the Abstract, and a run before Appendix A) — they become blank \section lines if converted mechanically.</w:t>
      </w:r>
    </w:p>
    <w:p>
      <w:pPr>
        <w:pStyle w:val="ListBullet"/>
      </w:pPr>
      <w:r>
        <w:rPr>
          <w:sz w:val="21"/>
        </w:rPr>
        <w:t>The Figure 2 caption paragraph uses a Heading-2 style, and the Figure 6 caption sits inside the image paragraph — both need normal caption styling before conversion.</w:t>
      </w:r>
    </w:p>
    <w:p>
      <w:pPr>
        <w:pStyle w:val="ListBullet"/>
      </w:pPr>
      <w:r>
        <w:rPr>
          <w:sz w:val="21"/>
        </w:rPr>
        <w:t>Symbols that will not survive LaTeX conversion literally: the OMML equations convert cleanly, but check the τ, α, β, ±, → and ∣ glyphs after the switch.</w:t>
      </w:r>
    </w:p>
    <w:p>
      <w:pPr>
        <w:pStyle w:val="Heading1"/>
        <w:spacing w:before="280" w:after="80"/>
      </w:pPr>
      <w:r>
        <w:rPr>
          <w:rFonts w:ascii="Calibri" w:hAnsi="Calibri"/>
          <w:color w:val="0F9D8F"/>
          <w:sz w:val="30"/>
        </w:rPr>
        <w:t>8. Bottom line</w:t>
      </w:r>
    </w:p>
    <w:p>
      <w:pPr>
        <w:spacing w:after="120"/>
      </w:pPr>
      <w:r>
        <w:rPr>
          <w:b/>
          <w:i w:val="0"/>
          <w:sz w:val="21"/>
        </w:rPr>
        <w:t>Apply E1, E2, R3, R4, paste the regenerated Table A1, and optionally sweep O1–O3. With those in, the 13th draft is content-complete and internally consistent: every claim traces to run data, all seven models appear in all three Appendix A artifacts, and the method story reads the same from Abstract to Appendix. That is the version to hand to your supervisor — with formatting deliberately left to the Overleaf pass, as you planned. Send it back if you want one last skim after these edits.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