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Times New Roman" w:hAnsi="Times New Roman"/>
          <w:b/>
          <w:color w:val="1B2A4A"/>
          <w:sz w:val="44"/>
        </w:rPr>
        <w:t>EGCD Re-Analysis — Paper Changes</w:t>
      </w:r>
    </w:p>
    <w:p>
      <w:pPr>
        <w:spacing w:after="480"/>
        <w:jc w:val="center"/>
      </w:pPr>
      <w:r>
        <w:rPr>
          <w:rFonts w:ascii="Times New Roman" w:hAnsi="Times New Roman"/>
          <w:color w:val="8C8A84"/>
          <w:sz w:val="26"/>
        </w:rPr>
        <w:t>Canonical split (seed=42, stratified by image) — held-out 842 queries</w:t>
      </w:r>
    </w:p>
    <w:p>
      <w:pPr>
        <w:spacing w:after="720"/>
        <w:jc w:val="center"/>
      </w:pPr>
      <w:r>
        <w:rPr>
          <w:rFonts w:ascii="Times New Roman" w:hAnsi="Times New Roman"/>
          <w:i/>
          <w:color w:val="8C8A84"/>
          <w:sz w:val="20"/>
        </w:rPr>
        <w:t>Generated 2026-09-15  ·  Sources: 14 JSON result files (7 EGCD + 7 VCD/SID)</w:t>
      </w:r>
    </w:p>
    <w:p>
      <w:pPr>
        <w:keepNext/>
        <w:spacing w:before="360" w:after="120"/>
      </w:pPr>
      <w:r>
        <w:rPr>
          <w:rFonts w:ascii="Times New Roman" w:hAnsi="Times New Roman"/>
          <w:b/>
          <w:color w:val="1B2A4A"/>
          <w:sz w:val="32"/>
        </w:rPr>
        <w:t>1. Executive Summary</w:t>
      </w:r>
    </w:p>
    <w:p>
      <w:pPr>
        <w:spacing w:line="312" w:lineRule="auto" w:after="80"/>
        <w:ind w:firstLine="482"/>
        <w:jc w:val="both"/>
      </w:pPr>
      <w:r>
        <w:rPr>
          <w:rFonts w:ascii="Times New Roman" w:hAnsi="Times New Roman"/>
          <w:color w:val="37352F"/>
          <w:sz w:val="24"/>
        </w:rPr>
        <w:t>The canonical-split re-analysis confirms the central claim of the paper: EGCD improves balanced accuracy on the four biased architectures while staying idle on the three structurally sound ones. The headline gains over greedy decoding are essentially unchanged or slightly stronger on the biased models, and the idle-gate property is preserved on the balanced models. All previously infeasible McNemar p-values have been replaced with exact paired tests computed from real discordant-pair counts, and every reported number now comes from the same frozen 842-query held-out partition across all seven models.</w:t>
      </w:r>
    </w:p>
    <w:p>
      <w:pPr>
        <w:spacing w:line="312" w:lineRule="auto" w:after="80"/>
        <w:ind w:firstLine="482"/>
        <w:jc w:val="both"/>
      </w:pPr>
      <w:r>
        <w:rPr>
          <w:rFonts w:ascii="Times New Roman" w:hAnsi="Times New Roman"/>
          <w:color w:val="37352F"/>
          <w:sz w:val="24"/>
        </w:rPr>
        <w:t>Headline gains over greedy decoding (BalAcc, percentage points):</w:t>
      </w:r>
    </w:p>
    <w:tbl>
      <w:tblPr>
        <w:tblW w:type="auto" w:w="0"/>
        <w:jc w:val="center"/>
        <w:tblLook w:firstColumn="1" w:firstRow="1" w:lastColumn="0" w:lastRow="0" w:noHBand="0" w:noVBand="1" w:val="04A0"/>
      </w:tblPr>
      <w:tblGrid>
        <w:gridCol w:w="1758"/>
        <w:gridCol w:w="1758"/>
        <w:gridCol w:w="1758"/>
        <w:gridCol w:w="1758"/>
        <w:gridCol w:w="1758"/>
      </w:tblGrid>
      <w:tr>
        <w:tc>
          <w:tcPr>
            <w:tcW w:type="dxa" w:w="3118"/>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Model</w:t>
            </w:r>
          </w:p>
        </w:tc>
        <w:tc>
          <w:tcPr>
            <w:tcW w:type="dxa" w:w="1417"/>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OLD gain</w:t>
            </w:r>
          </w:p>
        </w:tc>
        <w:tc>
          <w:tcPr>
            <w:tcW w:type="dxa" w:w="1417"/>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NEW gain</w:t>
            </w:r>
          </w:p>
        </w:tc>
        <w:tc>
          <w:tcPr>
            <w:tcW w:type="dxa" w:w="1134"/>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Δ</w:t>
            </w:r>
          </w:p>
        </w:tc>
        <w:tc>
          <w:tcPr>
            <w:tcW w:type="dxa" w:w="1701"/>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Verdict</w:t>
            </w:r>
          </w:p>
        </w:tc>
      </w:tr>
      <w:tr>
        <w:tc>
          <w:tcPr>
            <w:tcW w:type="dxa" w:w="3118"/>
            <w:vAlign w:val="center"/>
          </w:tcPr>
          <w:p>
            <w:pPr>
              <w:spacing w:line="276" w:lineRule="auto" w:after="0"/>
            </w:pPr>
            <w:r/>
            <w:r>
              <w:rPr>
                <w:rFonts w:ascii="Times New Roman" w:hAnsi="Times New Roman"/>
                <w:b w:val="0"/>
                <w:color w:val="37352F"/>
                <w:sz w:val="20"/>
              </w:rPr>
              <w:t>Qwen2-VL-2B</w:t>
            </w:r>
          </w:p>
        </w:tc>
        <w:tc>
          <w:tcPr>
            <w:tcW w:type="dxa" w:w="1417"/>
            <w:vAlign w:val="center"/>
          </w:tcPr>
          <w:p>
            <w:pPr>
              <w:spacing w:line="276" w:lineRule="auto" w:after="0"/>
            </w:pPr>
            <w:r/>
            <w:r>
              <w:rPr>
                <w:rFonts w:ascii="Times New Roman" w:hAnsi="Times New Roman"/>
                <w:b w:val="0"/>
                <w:color w:val="37352F"/>
                <w:sz w:val="20"/>
              </w:rPr>
              <w:t>+9.39</w:t>
            </w:r>
          </w:p>
        </w:tc>
        <w:tc>
          <w:tcPr>
            <w:tcW w:type="dxa" w:w="1417"/>
            <w:vAlign w:val="center"/>
          </w:tcPr>
          <w:p>
            <w:pPr>
              <w:spacing w:line="276" w:lineRule="auto" w:after="0"/>
            </w:pPr>
            <w:r/>
            <w:r>
              <w:rPr>
                <w:rFonts w:ascii="Times New Roman" w:hAnsi="Times New Roman"/>
                <w:b w:val="0"/>
                <w:color w:val="37352F"/>
                <w:sz w:val="20"/>
              </w:rPr>
              <w:t>+9.74</w:t>
            </w:r>
          </w:p>
        </w:tc>
        <w:tc>
          <w:tcPr>
            <w:tcW w:type="dxa" w:w="1134"/>
            <w:vAlign w:val="center"/>
          </w:tcPr>
          <w:p>
            <w:pPr>
              <w:spacing w:line="276" w:lineRule="auto" w:after="0"/>
            </w:pPr>
            <w:r/>
            <w:r>
              <w:rPr>
                <w:rFonts w:ascii="Times New Roman" w:hAnsi="Times New Roman"/>
                <w:b w:val="0"/>
                <w:color w:val="37352F"/>
                <w:sz w:val="20"/>
              </w:rPr>
              <w:t>+0.35</w:t>
            </w:r>
          </w:p>
        </w:tc>
        <w:tc>
          <w:tcPr>
            <w:tcW w:type="dxa" w:w="1701"/>
            <w:vAlign w:val="center"/>
          </w:tcPr>
          <w:p>
            <w:pPr>
              <w:spacing w:line="276" w:lineRule="auto" w:after="0"/>
            </w:pPr>
            <w:r/>
            <w:r>
              <w:rPr>
                <w:rFonts w:ascii="Times New Roman" w:hAnsi="Times New Roman"/>
                <w:b w:val="0"/>
                <w:color w:val="37352F"/>
                <w:sz w:val="20"/>
              </w:rPr>
              <w:t>unchanged</w:t>
            </w:r>
          </w:p>
        </w:tc>
      </w:tr>
      <w:tr>
        <w:tc>
          <w:tcPr>
            <w:tcW w:type="dxa" w:w="3118"/>
            <w:vAlign w:val="center"/>
            <w:shd w:val="clear" w:color="auto" w:fill="F7F7F5"/>
          </w:tcPr>
          <w:p>
            <w:pPr>
              <w:spacing w:line="276" w:lineRule="auto" w:after="0"/>
            </w:pPr>
            <w:r/>
            <w:r>
              <w:rPr>
                <w:rFonts w:ascii="Times New Roman" w:hAnsi="Times New Roman"/>
                <w:b w:val="0"/>
                <w:color w:val="37352F"/>
                <w:sz w:val="20"/>
              </w:rPr>
              <w:t>Phi-3-Vision-4.2B</w:t>
            </w:r>
          </w:p>
        </w:tc>
        <w:tc>
          <w:tcPr>
            <w:tcW w:type="dxa" w:w="1417"/>
            <w:vAlign w:val="center"/>
            <w:shd w:val="clear" w:color="auto" w:fill="F7F7F5"/>
          </w:tcPr>
          <w:p>
            <w:pPr>
              <w:spacing w:line="276" w:lineRule="auto" w:after="0"/>
            </w:pPr>
            <w:r/>
            <w:r>
              <w:rPr>
                <w:rFonts w:ascii="Times New Roman" w:hAnsi="Times New Roman"/>
                <w:b w:val="0"/>
                <w:color w:val="37352F"/>
                <w:sz w:val="20"/>
              </w:rPr>
              <w:t>+7.32</w:t>
            </w:r>
          </w:p>
        </w:tc>
        <w:tc>
          <w:tcPr>
            <w:tcW w:type="dxa" w:w="1417"/>
            <w:vAlign w:val="center"/>
            <w:shd w:val="clear" w:color="auto" w:fill="F7F7F5"/>
          </w:tcPr>
          <w:p>
            <w:pPr>
              <w:spacing w:line="276" w:lineRule="auto" w:after="0"/>
            </w:pPr>
            <w:r/>
            <w:r>
              <w:rPr>
                <w:rFonts w:ascii="Times New Roman" w:hAnsi="Times New Roman"/>
                <w:b w:val="0"/>
                <w:color w:val="37352F"/>
                <w:sz w:val="20"/>
              </w:rPr>
              <w:t>+8.06</w:t>
            </w:r>
          </w:p>
        </w:tc>
        <w:tc>
          <w:tcPr>
            <w:tcW w:type="dxa" w:w="1134"/>
            <w:vAlign w:val="center"/>
            <w:shd w:val="clear" w:color="auto" w:fill="F7F7F5"/>
          </w:tcPr>
          <w:p>
            <w:pPr>
              <w:spacing w:line="276" w:lineRule="auto" w:after="0"/>
            </w:pPr>
            <w:r/>
            <w:r>
              <w:rPr>
                <w:rFonts w:ascii="Times New Roman" w:hAnsi="Times New Roman"/>
                <w:b w:val="0"/>
                <w:color w:val="37352F"/>
                <w:sz w:val="20"/>
              </w:rPr>
              <w:t>+0.74</w:t>
            </w:r>
          </w:p>
        </w:tc>
        <w:tc>
          <w:tcPr>
            <w:tcW w:type="dxa" w:w="1701"/>
            <w:vAlign w:val="center"/>
            <w:shd w:val="clear" w:color="auto" w:fill="F7F7F5"/>
          </w:tcPr>
          <w:p>
            <w:pPr>
              <w:spacing w:line="276" w:lineRule="auto" w:after="0"/>
            </w:pPr>
            <w:r/>
            <w:r>
              <w:rPr>
                <w:rFonts w:ascii="Times New Roman" w:hAnsi="Times New Roman"/>
                <w:b w:val="0"/>
                <w:color w:val="37352F"/>
                <w:sz w:val="20"/>
              </w:rPr>
              <w:t>STRONGER</w:t>
            </w:r>
          </w:p>
        </w:tc>
      </w:tr>
      <w:tr>
        <w:tc>
          <w:tcPr>
            <w:tcW w:type="dxa" w:w="3118"/>
            <w:vAlign w:val="center"/>
          </w:tcPr>
          <w:p>
            <w:pPr>
              <w:spacing w:line="276" w:lineRule="auto" w:after="0"/>
            </w:pPr>
            <w:r/>
            <w:r>
              <w:rPr>
                <w:rFonts w:ascii="Times New Roman" w:hAnsi="Times New Roman"/>
                <w:b w:val="0"/>
                <w:color w:val="37352F"/>
                <w:sz w:val="20"/>
              </w:rPr>
              <w:t>SmolVLM2-2.2B</w:t>
            </w:r>
          </w:p>
        </w:tc>
        <w:tc>
          <w:tcPr>
            <w:tcW w:type="dxa" w:w="1417"/>
            <w:vAlign w:val="center"/>
          </w:tcPr>
          <w:p>
            <w:pPr>
              <w:spacing w:line="276" w:lineRule="auto" w:after="0"/>
            </w:pPr>
            <w:r/>
            <w:r>
              <w:rPr>
                <w:rFonts w:ascii="Times New Roman" w:hAnsi="Times New Roman"/>
                <w:b w:val="0"/>
                <w:color w:val="37352F"/>
                <w:sz w:val="20"/>
              </w:rPr>
              <w:t>+4.27</w:t>
            </w:r>
          </w:p>
        </w:tc>
        <w:tc>
          <w:tcPr>
            <w:tcW w:type="dxa" w:w="1417"/>
            <w:vAlign w:val="center"/>
          </w:tcPr>
          <w:p>
            <w:pPr>
              <w:spacing w:line="276" w:lineRule="auto" w:after="0"/>
            </w:pPr>
            <w:r/>
            <w:r>
              <w:rPr>
                <w:rFonts w:ascii="Times New Roman" w:hAnsi="Times New Roman"/>
                <w:b w:val="0"/>
                <w:color w:val="37352F"/>
                <w:sz w:val="20"/>
              </w:rPr>
              <w:t>+3.82</w:t>
            </w:r>
          </w:p>
        </w:tc>
        <w:tc>
          <w:tcPr>
            <w:tcW w:type="dxa" w:w="1134"/>
            <w:vAlign w:val="center"/>
          </w:tcPr>
          <w:p>
            <w:pPr>
              <w:spacing w:line="276" w:lineRule="auto" w:after="0"/>
            </w:pPr>
            <w:r/>
            <w:r>
              <w:rPr>
                <w:rFonts w:ascii="Times New Roman" w:hAnsi="Times New Roman"/>
                <w:b w:val="0"/>
                <w:color w:val="37352F"/>
                <w:sz w:val="20"/>
              </w:rPr>
              <w:t>-0.45</w:t>
            </w:r>
          </w:p>
        </w:tc>
        <w:tc>
          <w:tcPr>
            <w:tcW w:type="dxa" w:w="1701"/>
            <w:vAlign w:val="center"/>
          </w:tcPr>
          <w:p>
            <w:pPr>
              <w:spacing w:line="276" w:lineRule="auto" w:after="0"/>
            </w:pPr>
            <w:r/>
            <w:r>
              <w:rPr>
                <w:rFonts w:ascii="Times New Roman" w:hAnsi="Times New Roman"/>
                <w:b w:val="0"/>
                <w:color w:val="37352F"/>
                <w:sz w:val="20"/>
              </w:rPr>
              <w:t>unchanged</w:t>
            </w:r>
          </w:p>
        </w:tc>
      </w:tr>
      <w:tr>
        <w:tc>
          <w:tcPr>
            <w:tcW w:type="dxa" w:w="3118"/>
            <w:vAlign w:val="center"/>
            <w:shd w:val="clear" w:color="auto" w:fill="F7F7F5"/>
          </w:tcPr>
          <w:p>
            <w:pPr>
              <w:spacing w:line="276" w:lineRule="auto" w:after="0"/>
            </w:pPr>
            <w:r/>
            <w:r>
              <w:rPr>
                <w:rFonts w:ascii="Times New Roman" w:hAnsi="Times New Roman"/>
                <w:b w:val="0"/>
                <w:color w:val="37352F"/>
                <w:sz w:val="20"/>
              </w:rPr>
              <w:t>Qwen2.5-VL-7B</w:t>
            </w:r>
          </w:p>
        </w:tc>
        <w:tc>
          <w:tcPr>
            <w:tcW w:type="dxa" w:w="1417"/>
            <w:vAlign w:val="center"/>
            <w:shd w:val="clear" w:color="auto" w:fill="F7F7F5"/>
          </w:tcPr>
          <w:p>
            <w:pPr>
              <w:spacing w:line="276" w:lineRule="auto" w:after="0"/>
            </w:pPr>
            <w:r/>
            <w:r>
              <w:rPr>
                <w:rFonts w:ascii="Times New Roman" w:hAnsi="Times New Roman"/>
                <w:b w:val="0"/>
                <w:color w:val="37352F"/>
                <w:sz w:val="20"/>
              </w:rPr>
              <w:t>+1.92</w:t>
            </w:r>
          </w:p>
        </w:tc>
        <w:tc>
          <w:tcPr>
            <w:tcW w:type="dxa" w:w="1417"/>
            <w:vAlign w:val="center"/>
            <w:shd w:val="clear" w:color="auto" w:fill="F7F7F5"/>
          </w:tcPr>
          <w:p>
            <w:pPr>
              <w:spacing w:line="276" w:lineRule="auto" w:after="0"/>
            </w:pPr>
            <w:r/>
            <w:r>
              <w:rPr>
                <w:rFonts w:ascii="Times New Roman" w:hAnsi="Times New Roman"/>
                <w:b w:val="0"/>
                <w:color w:val="37352F"/>
                <w:sz w:val="20"/>
              </w:rPr>
              <w:t>+2.03</w:t>
            </w:r>
          </w:p>
        </w:tc>
        <w:tc>
          <w:tcPr>
            <w:tcW w:type="dxa" w:w="1134"/>
            <w:vAlign w:val="center"/>
            <w:shd w:val="clear" w:color="auto" w:fill="F7F7F5"/>
          </w:tcPr>
          <w:p>
            <w:pPr>
              <w:spacing w:line="276" w:lineRule="auto" w:after="0"/>
            </w:pPr>
            <w:r/>
            <w:r>
              <w:rPr>
                <w:rFonts w:ascii="Times New Roman" w:hAnsi="Times New Roman"/>
                <w:b w:val="0"/>
                <w:color w:val="37352F"/>
                <w:sz w:val="20"/>
              </w:rPr>
              <w:t>+0.11</w:t>
            </w:r>
          </w:p>
        </w:tc>
        <w:tc>
          <w:tcPr>
            <w:tcW w:type="dxa" w:w="1701"/>
            <w:vAlign w:val="center"/>
            <w:shd w:val="clear" w:color="auto" w:fill="F7F7F5"/>
          </w:tcPr>
          <w:p>
            <w:pPr>
              <w:spacing w:line="276" w:lineRule="auto" w:after="0"/>
            </w:pPr>
            <w:r/>
            <w:r>
              <w:rPr>
                <w:rFonts w:ascii="Times New Roman" w:hAnsi="Times New Roman"/>
                <w:b w:val="0"/>
                <w:color w:val="37352F"/>
                <w:sz w:val="20"/>
              </w:rPr>
              <w:t>unchanged</w:t>
            </w:r>
          </w:p>
        </w:tc>
      </w:tr>
      <w:tr>
        <w:tc>
          <w:tcPr>
            <w:tcW w:type="dxa" w:w="3118"/>
            <w:vAlign w:val="center"/>
          </w:tcPr>
          <w:p>
            <w:pPr>
              <w:spacing w:line="276" w:lineRule="auto" w:after="0"/>
            </w:pPr>
            <w:r/>
            <w:r>
              <w:rPr>
                <w:rFonts w:ascii="Times New Roman" w:hAnsi="Times New Roman"/>
                <w:b w:val="0"/>
                <w:color w:val="37352F"/>
                <w:sz w:val="20"/>
              </w:rPr>
              <w:t>Idefics2-8B</w:t>
            </w:r>
          </w:p>
        </w:tc>
        <w:tc>
          <w:tcPr>
            <w:tcW w:type="dxa" w:w="1417"/>
            <w:vAlign w:val="center"/>
          </w:tcPr>
          <w:p>
            <w:pPr>
              <w:spacing w:line="276" w:lineRule="auto" w:after="0"/>
            </w:pPr>
            <w:r/>
            <w:r>
              <w:rPr>
                <w:rFonts w:ascii="Times New Roman" w:hAnsi="Times New Roman"/>
                <w:b w:val="0"/>
                <w:color w:val="37352F"/>
                <w:sz w:val="20"/>
              </w:rPr>
              <w:t>+0.04</w:t>
            </w:r>
          </w:p>
        </w:tc>
        <w:tc>
          <w:tcPr>
            <w:tcW w:type="dxa" w:w="1417"/>
            <w:vAlign w:val="center"/>
          </w:tcPr>
          <w:p>
            <w:pPr>
              <w:spacing w:line="276" w:lineRule="auto" w:after="0"/>
            </w:pPr>
            <w:r/>
            <w:r>
              <w:rPr>
                <w:rFonts w:ascii="Times New Roman" w:hAnsi="Times New Roman"/>
                <w:b w:val="0"/>
                <w:color w:val="37352F"/>
                <w:sz w:val="20"/>
              </w:rPr>
              <w:t>+-0.25</w:t>
            </w:r>
          </w:p>
        </w:tc>
        <w:tc>
          <w:tcPr>
            <w:tcW w:type="dxa" w:w="1134"/>
            <w:vAlign w:val="center"/>
          </w:tcPr>
          <w:p>
            <w:pPr>
              <w:spacing w:line="276" w:lineRule="auto" w:after="0"/>
            </w:pPr>
            <w:r/>
            <w:r>
              <w:rPr>
                <w:rFonts w:ascii="Times New Roman" w:hAnsi="Times New Roman"/>
                <w:b w:val="0"/>
                <w:color w:val="37352F"/>
                <w:sz w:val="20"/>
              </w:rPr>
              <w:t>-0.29</w:t>
            </w:r>
          </w:p>
        </w:tc>
        <w:tc>
          <w:tcPr>
            <w:tcW w:type="dxa" w:w="1701"/>
            <w:vAlign w:val="center"/>
          </w:tcPr>
          <w:p>
            <w:pPr>
              <w:spacing w:line="276" w:lineRule="auto" w:after="0"/>
            </w:pPr>
            <w:r/>
            <w:r>
              <w:rPr>
                <w:rFonts w:ascii="Times New Roman" w:hAnsi="Times New Roman"/>
                <w:b w:val="0"/>
                <w:color w:val="37352F"/>
                <w:sz w:val="20"/>
              </w:rPr>
              <w:t>unchanged</w:t>
            </w:r>
          </w:p>
        </w:tc>
      </w:tr>
      <w:tr>
        <w:tc>
          <w:tcPr>
            <w:tcW w:type="dxa" w:w="3118"/>
            <w:vAlign w:val="center"/>
            <w:shd w:val="clear" w:color="auto" w:fill="F7F7F5"/>
          </w:tcPr>
          <w:p>
            <w:pPr>
              <w:spacing w:line="276" w:lineRule="auto" w:after="0"/>
            </w:pPr>
            <w:r/>
            <w:r>
              <w:rPr>
                <w:rFonts w:ascii="Times New Roman" w:hAnsi="Times New Roman"/>
                <w:b w:val="0"/>
                <w:color w:val="37352F"/>
                <w:sz w:val="20"/>
              </w:rPr>
              <w:t>LLaVA-1.5-7B</w:t>
            </w:r>
          </w:p>
        </w:tc>
        <w:tc>
          <w:tcPr>
            <w:tcW w:type="dxa" w:w="1417"/>
            <w:vAlign w:val="center"/>
            <w:shd w:val="clear" w:color="auto" w:fill="F7F7F5"/>
          </w:tcPr>
          <w:p>
            <w:pPr>
              <w:spacing w:line="276" w:lineRule="auto" w:after="0"/>
            </w:pPr>
            <w:r/>
            <w:r>
              <w:rPr>
                <w:rFonts w:ascii="Times New Roman" w:hAnsi="Times New Roman"/>
                <w:b w:val="0"/>
                <w:color w:val="37352F"/>
                <w:sz w:val="20"/>
              </w:rPr>
              <w:t>+0.00</w:t>
            </w:r>
          </w:p>
        </w:tc>
        <w:tc>
          <w:tcPr>
            <w:tcW w:type="dxa" w:w="1417"/>
            <w:vAlign w:val="center"/>
            <w:shd w:val="clear" w:color="auto" w:fill="F7F7F5"/>
          </w:tcPr>
          <w:p>
            <w:pPr>
              <w:spacing w:line="276" w:lineRule="auto" w:after="0"/>
            </w:pPr>
            <w:r/>
            <w:r>
              <w:rPr>
                <w:rFonts w:ascii="Times New Roman" w:hAnsi="Times New Roman"/>
                <w:b w:val="0"/>
                <w:color w:val="37352F"/>
                <w:sz w:val="20"/>
              </w:rPr>
              <w:t>+0.00</w:t>
            </w:r>
          </w:p>
        </w:tc>
        <w:tc>
          <w:tcPr>
            <w:tcW w:type="dxa" w:w="1134"/>
            <w:vAlign w:val="center"/>
            <w:shd w:val="clear" w:color="auto" w:fill="F7F7F5"/>
          </w:tcPr>
          <w:p>
            <w:pPr>
              <w:spacing w:line="276" w:lineRule="auto" w:after="0"/>
            </w:pPr>
            <w:r/>
            <w:r>
              <w:rPr>
                <w:rFonts w:ascii="Times New Roman" w:hAnsi="Times New Roman"/>
                <w:b w:val="0"/>
                <w:color w:val="37352F"/>
                <w:sz w:val="20"/>
              </w:rPr>
              <w:t>+0.00</w:t>
            </w:r>
          </w:p>
        </w:tc>
        <w:tc>
          <w:tcPr>
            <w:tcW w:type="dxa" w:w="1701"/>
            <w:vAlign w:val="center"/>
            <w:shd w:val="clear" w:color="auto" w:fill="F7F7F5"/>
          </w:tcPr>
          <w:p>
            <w:pPr>
              <w:spacing w:line="276" w:lineRule="auto" w:after="0"/>
            </w:pPr>
            <w:r/>
            <w:r>
              <w:rPr>
                <w:rFonts w:ascii="Times New Roman" w:hAnsi="Times New Roman"/>
                <w:b w:val="0"/>
                <w:color w:val="37352F"/>
                <w:sz w:val="20"/>
              </w:rPr>
              <w:t>unchanged</w:t>
            </w:r>
          </w:p>
        </w:tc>
      </w:tr>
      <w:tr>
        <w:tc>
          <w:tcPr>
            <w:tcW w:type="dxa" w:w="3118"/>
            <w:vAlign w:val="center"/>
          </w:tcPr>
          <w:p>
            <w:pPr>
              <w:spacing w:line="276" w:lineRule="auto" w:after="0"/>
            </w:pPr>
            <w:r/>
            <w:r>
              <w:rPr>
                <w:rFonts w:ascii="Times New Roman" w:hAnsi="Times New Roman"/>
                <w:b w:val="0"/>
                <w:color w:val="37352F"/>
                <w:sz w:val="20"/>
              </w:rPr>
              <w:t>LLaVA-v1.6-Mistral-7B</w:t>
            </w:r>
          </w:p>
        </w:tc>
        <w:tc>
          <w:tcPr>
            <w:tcW w:type="dxa" w:w="1417"/>
            <w:vAlign w:val="center"/>
          </w:tcPr>
          <w:p>
            <w:pPr>
              <w:spacing w:line="276" w:lineRule="auto" w:after="0"/>
            </w:pPr>
            <w:r/>
            <w:r>
              <w:rPr>
                <w:rFonts w:ascii="Times New Roman" w:hAnsi="Times New Roman"/>
                <w:b w:val="0"/>
                <w:color w:val="37352F"/>
                <w:sz w:val="20"/>
              </w:rPr>
              <w:t>+0.00</w:t>
            </w:r>
          </w:p>
        </w:tc>
        <w:tc>
          <w:tcPr>
            <w:tcW w:type="dxa" w:w="1417"/>
            <w:vAlign w:val="center"/>
          </w:tcPr>
          <w:p>
            <w:pPr>
              <w:spacing w:line="276" w:lineRule="auto" w:after="0"/>
            </w:pPr>
            <w:r/>
            <w:r>
              <w:rPr>
                <w:rFonts w:ascii="Times New Roman" w:hAnsi="Times New Roman"/>
                <w:b w:val="0"/>
                <w:color w:val="37352F"/>
                <w:sz w:val="20"/>
              </w:rPr>
              <w:t>+-0.10</w:t>
            </w:r>
          </w:p>
        </w:tc>
        <w:tc>
          <w:tcPr>
            <w:tcW w:type="dxa" w:w="1134"/>
            <w:vAlign w:val="center"/>
          </w:tcPr>
          <w:p>
            <w:pPr>
              <w:spacing w:line="276" w:lineRule="auto" w:after="0"/>
            </w:pPr>
            <w:r/>
            <w:r>
              <w:rPr>
                <w:rFonts w:ascii="Times New Roman" w:hAnsi="Times New Roman"/>
                <w:b w:val="0"/>
                <w:color w:val="37352F"/>
                <w:sz w:val="20"/>
              </w:rPr>
              <w:t>-0.10</w:t>
            </w:r>
          </w:p>
        </w:tc>
        <w:tc>
          <w:tcPr>
            <w:tcW w:type="dxa" w:w="1701"/>
            <w:vAlign w:val="center"/>
          </w:tcPr>
          <w:p>
            <w:pPr>
              <w:spacing w:line="276" w:lineRule="auto" w:after="0"/>
            </w:pPr>
            <w:r/>
            <w:r>
              <w:rPr>
                <w:rFonts w:ascii="Times New Roman" w:hAnsi="Times New Roman"/>
                <w:b w:val="0"/>
                <w:color w:val="37352F"/>
                <w:sz w:val="20"/>
              </w:rPr>
              <w:t>unchanged</w:t>
            </w:r>
          </w:p>
        </w:tc>
      </w:tr>
    </w:tbl>
    <w:p>
      <w:pPr>
        <w:spacing w:line="312" w:lineRule="auto" w:after="80"/>
        <w:ind w:firstLine="482"/>
        <w:jc w:val="both"/>
      </w:pPr>
      <w:r>
        <w:rPr>
          <w:rFonts w:ascii="Times New Roman" w:hAnsi="Times New Roman"/>
          <w:color w:val="37352F"/>
          <w:sz w:val="24"/>
        </w:rPr>
      </w:r>
    </w:p>
    <w:p>
      <w:pPr>
        <w:spacing w:line="312" w:lineRule="auto" w:after="80"/>
        <w:ind w:firstLine="482"/>
        <w:jc w:val="both"/>
      </w:pPr>
      <w:r>
        <w:rPr>
          <w:rFonts w:ascii="Times New Roman" w:hAnsi="Times New Roman"/>
          <w:color w:val="37352F"/>
          <w:sz w:val="24"/>
        </w:rPr>
        <w:t>The two most damaging problems identified by the reviewer are now fixed: (1) the LLaVA-v1.6 block previously reproduced only on the full 1,664-example dataset, not the stated 833-item held-out split — it now uses the same 842-item partition as every other model; and (2) the McNemar p-values previously claimed p &gt; 0.99 for several models, which was mathematically infeasible given the reported marginals — they are now computed from actual paired discordant counts and all values are valid. The story is intact; the numbers moved by less than two percentage points on every regime and every model.</w:t>
      </w:r>
    </w:p>
    <w:p>
      <w:pPr>
        <w:keepNext/>
        <w:spacing w:before="360" w:after="120"/>
      </w:pPr>
      <w:r>
        <w:rPr>
          <w:rFonts w:ascii="Times New Roman" w:hAnsi="Times New Roman"/>
          <w:b/>
          <w:color w:val="1B2A4A"/>
          <w:sz w:val="32"/>
        </w:rPr>
        <w:t>2. New Table 1 (replaces the old one)</w:t>
      </w:r>
    </w:p>
    <w:p>
      <w:pPr>
        <w:spacing w:line="312" w:lineRule="auto" w:after="80"/>
        <w:ind w:firstLine="482"/>
        <w:jc w:val="both"/>
      </w:pPr>
      <w:r>
        <w:rPr>
          <w:rFonts w:ascii="Times New Roman" w:hAnsi="Times New Roman"/>
          <w:color w:val="37352F"/>
          <w:sz w:val="24"/>
        </w:rPr>
        <w:t>All numbers below are computed on the held-out 842-query partition of the AMBER Discriminative-Relation subset, using the canonical split (seed=42, stratified by image id) that is identical across all 14 result files. The five regimes are: Greedy baseline, Universal CD+APC (applied at every step), EGCD (entropy-gated, τ* selected on the tuning 822-query half), VCD (Leng et al. 2024, Gaussian-noised image amateur), and SID (Huo et al. 2025, shallow-layer amateur). α = 1.0 and β = 0.1 for all contrastive regimes.</w:t>
      </w:r>
    </w:p>
    <w:tbl>
      <w:tblPr>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2551"/>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Model</w:t>
            </w:r>
          </w:p>
        </w:tc>
        <w:tc>
          <w:tcPr>
            <w:tcW w:type="dxa" w:w="1247"/>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Regime</w:t>
            </w:r>
          </w:p>
        </w:tc>
        <w:tc>
          <w:tcPr>
            <w:tcW w:type="dxa" w:w="1134"/>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Recall (%)</w:t>
            </w:r>
          </w:p>
        </w:tc>
        <w:tc>
          <w:tcPr>
            <w:tcW w:type="dxa" w:w="1134"/>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Spec (%)</w:t>
            </w:r>
          </w:p>
        </w:tc>
        <w:tc>
          <w:tcPr>
            <w:tcW w:type="dxa" w:w="1134"/>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BalAcc (%)</w:t>
            </w:r>
          </w:p>
        </w:tc>
        <w:tc>
          <w:tcPr>
            <w:tcW w:type="dxa" w:w="680"/>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n</w:t>
            </w:r>
          </w:p>
        </w:tc>
        <w:tc>
          <w:tcPr>
            <w:tcW w:type="dxa" w:w="680"/>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τ*</w:t>
            </w:r>
          </w:p>
        </w:tc>
      </w:tr>
      <w:tr>
        <w:tc>
          <w:tcPr>
            <w:tcW w:type="dxa" w:w="2551"/>
            <w:vAlign w:val="center"/>
          </w:tcPr>
          <w:p>
            <w:pPr>
              <w:spacing w:line="276" w:lineRule="auto" w:after="0"/>
            </w:pPr>
            <w:r/>
            <w:r>
              <w:rPr>
                <w:rFonts w:ascii="Times New Roman" w:hAnsi="Times New Roman"/>
                <w:b w:val="0"/>
                <w:color w:val="37352F"/>
                <w:sz w:val="20"/>
              </w:rPr>
              <w:t>Qwen2-VL-2B</w:t>
            </w:r>
          </w:p>
        </w:tc>
        <w:tc>
          <w:tcPr>
            <w:tcW w:type="dxa" w:w="1247"/>
            <w:vAlign w:val="center"/>
          </w:tcPr>
          <w:p>
            <w:pPr>
              <w:spacing w:line="276" w:lineRule="auto" w:after="0"/>
            </w:pPr>
            <w:r/>
            <w:r>
              <w:rPr>
                <w:rFonts w:ascii="Times New Roman" w:hAnsi="Times New Roman"/>
                <w:b w:val="0"/>
                <w:color w:val="37352F"/>
                <w:sz w:val="20"/>
              </w:rPr>
              <w:t>Greedy</w:t>
            </w:r>
          </w:p>
        </w:tc>
        <w:tc>
          <w:tcPr>
            <w:tcW w:type="dxa" w:w="1134"/>
            <w:vAlign w:val="center"/>
          </w:tcPr>
          <w:p>
            <w:pPr>
              <w:spacing w:line="276" w:lineRule="auto" w:after="0"/>
            </w:pPr>
            <w:r/>
            <w:r>
              <w:rPr>
                <w:rFonts w:ascii="Times New Roman" w:hAnsi="Times New Roman"/>
                <w:b w:val="0"/>
                <w:color w:val="37352F"/>
                <w:sz w:val="20"/>
              </w:rPr>
              <w:t>47.00</w:t>
            </w:r>
          </w:p>
        </w:tc>
        <w:tc>
          <w:tcPr>
            <w:tcW w:type="dxa" w:w="1134"/>
            <w:vAlign w:val="center"/>
          </w:tcPr>
          <w:p>
            <w:pPr>
              <w:spacing w:line="276" w:lineRule="auto" w:after="0"/>
            </w:pPr>
            <w:r/>
            <w:r>
              <w:rPr>
                <w:rFonts w:ascii="Times New Roman" w:hAnsi="Times New Roman"/>
                <w:b w:val="0"/>
                <w:color w:val="37352F"/>
                <w:sz w:val="20"/>
              </w:rPr>
              <w:t>94.43</w:t>
            </w:r>
          </w:p>
        </w:tc>
        <w:tc>
          <w:tcPr>
            <w:tcW w:type="dxa" w:w="1134"/>
            <w:vAlign w:val="center"/>
          </w:tcPr>
          <w:p>
            <w:pPr>
              <w:spacing w:line="276" w:lineRule="auto" w:after="0"/>
            </w:pPr>
            <w:r/>
            <w:r>
              <w:rPr>
                <w:rFonts w:ascii="Times New Roman" w:hAnsi="Times New Roman"/>
                <w:b w:val="0"/>
                <w:color w:val="37352F"/>
                <w:sz w:val="20"/>
              </w:rPr>
              <w:t>70.71</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134"/>
            <w:vAlign w:val="center"/>
            <w:shd w:val="clear" w:color="auto" w:fill="F7F7F5"/>
          </w:tcPr>
          <w:p>
            <w:pPr>
              <w:spacing w:line="276" w:lineRule="auto" w:after="0"/>
            </w:pPr>
            <w:r/>
            <w:r>
              <w:rPr>
                <w:rFonts w:ascii="Times New Roman" w:hAnsi="Times New Roman"/>
                <w:b w:val="0"/>
                <w:color w:val="37352F"/>
                <w:sz w:val="20"/>
              </w:rPr>
              <w:t>74.95</w:t>
            </w:r>
          </w:p>
        </w:tc>
        <w:tc>
          <w:tcPr>
            <w:tcW w:type="dxa" w:w="1134"/>
            <w:vAlign w:val="center"/>
            <w:shd w:val="clear" w:color="auto" w:fill="F7F7F5"/>
          </w:tcPr>
          <w:p>
            <w:pPr>
              <w:spacing w:line="276" w:lineRule="auto" w:after="0"/>
            </w:pPr>
            <w:r/>
            <w:r>
              <w:rPr>
                <w:rFonts w:ascii="Times New Roman" w:hAnsi="Times New Roman"/>
                <w:b w:val="0"/>
                <w:color w:val="37352F"/>
                <w:sz w:val="20"/>
              </w:rPr>
              <w:t>79.67</w:t>
            </w:r>
          </w:p>
        </w:tc>
        <w:tc>
          <w:tcPr>
            <w:tcW w:type="dxa" w:w="1134"/>
            <w:vAlign w:val="center"/>
            <w:shd w:val="clear" w:color="auto" w:fill="F7F7F5"/>
          </w:tcPr>
          <w:p>
            <w:pPr>
              <w:spacing w:line="276" w:lineRule="auto" w:after="0"/>
            </w:pPr>
            <w:r/>
            <w:r>
              <w:rPr>
                <w:rFonts w:ascii="Times New Roman" w:hAnsi="Times New Roman"/>
                <w:b w:val="0"/>
                <w:color w:val="37352F"/>
                <w:sz w:val="20"/>
              </w:rPr>
              <w:t>77.31</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134"/>
            <w:vAlign w:val="center"/>
          </w:tcPr>
          <w:p>
            <w:pPr>
              <w:spacing w:line="276" w:lineRule="auto" w:after="0"/>
            </w:pPr>
            <w:r/>
            <w:r>
              <w:rPr>
                <w:rFonts w:ascii="Times New Roman" w:hAnsi="Times New Roman"/>
                <w:b w:val="0"/>
                <w:color w:val="37352F"/>
                <w:sz w:val="20"/>
              </w:rPr>
              <w:t>72.88</w:t>
            </w:r>
          </w:p>
        </w:tc>
        <w:tc>
          <w:tcPr>
            <w:tcW w:type="dxa" w:w="1134"/>
            <w:vAlign w:val="center"/>
          </w:tcPr>
          <w:p>
            <w:pPr>
              <w:spacing w:line="276" w:lineRule="auto" w:after="0"/>
            </w:pPr>
            <w:r/>
            <w:r>
              <w:rPr>
                <w:rFonts w:ascii="Times New Roman" w:hAnsi="Times New Roman"/>
                <w:b w:val="0"/>
                <w:color w:val="37352F"/>
                <w:sz w:val="20"/>
              </w:rPr>
              <w:t>88.02</w:t>
            </w:r>
          </w:p>
        </w:tc>
        <w:tc>
          <w:tcPr>
            <w:tcW w:type="dxa" w:w="1134"/>
            <w:vAlign w:val="center"/>
          </w:tcPr>
          <w:p>
            <w:pPr>
              <w:spacing w:line="276" w:lineRule="auto" w:after="0"/>
            </w:pPr>
            <w:r/>
            <w:r>
              <w:rPr>
                <w:rFonts w:ascii="Times New Roman" w:hAnsi="Times New Roman"/>
                <w:b w:val="0"/>
                <w:color w:val="37352F"/>
                <w:sz w:val="20"/>
              </w:rPr>
              <w:t>80.45</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t>0.70</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134"/>
            <w:vAlign w:val="center"/>
            <w:shd w:val="clear" w:color="auto" w:fill="F7F7F5"/>
          </w:tcPr>
          <w:p>
            <w:pPr>
              <w:spacing w:line="276" w:lineRule="auto" w:after="0"/>
            </w:pPr>
            <w:r/>
            <w:r>
              <w:rPr>
                <w:rFonts w:ascii="Times New Roman" w:hAnsi="Times New Roman"/>
                <w:b w:val="0"/>
                <w:color w:val="37352F"/>
                <w:sz w:val="20"/>
              </w:rPr>
              <w:t>48.45</w:t>
            </w:r>
          </w:p>
        </w:tc>
        <w:tc>
          <w:tcPr>
            <w:tcW w:type="dxa" w:w="1134"/>
            <w:vAlign w:val="center"/>
            <w:shd w:val="clear" w:color="auto" w:fill="F7F7F5"/>
          </w:tcPr>
          <w:p>
            <w:pPr>
              <w:spacing w:line="276" w:lineRule="auto" w:after="0"/>
            </w:pPr>
            <w:r/>
            <w:r>
              <w:rPr>
                <w:rFonts w:ascii="Times New Roman" w:hAnsi="Times New Roman"/>
                <w:b w:val="0"/>
                <w:color w:val="37352F"/>
                <w:sz w:val="20"/>
              </w:rPr>
              <w:t>93.87</w:t>
            </w:r>
          </w:p>
        </w:tc>
        <w:tc>
          <w:tcPr>
            <w:tcW w:type="dxa" w:w="1134"/>
            <w:vAlign w:val="center"/>
            <w:shd w:val="clear" w:color="auto" w:fill="F7F7F5"/>
          </w:tcPr>
          <w:p>
            <w:pPr>
              <w:spacing w:line="276" w:lineRule="auto" w:after="0"/>
            </w:pPr>
            <w:r/>
            <w:r>
              <w:rPr>
                <w:rFonts w:ascii="Times New Roman" w:hAnsi="Times New Roman"/>
                <w:b w:val="0"/>
                <w:color w:val="37352F"/>
                <w:sz w:val="20"/>
              </w:rPr>
              <w:t>71.16</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134"/>
            <w:vAlign w:val="center"/>
          </w:tcPr>
          <w:p>
            <w:pPr>
              <w:spacing w:line="276" w:lineRule="auto" w:after="0"/>
            </w:pPr>
            <w:r/>
            <w:r>
              <w:rPr>
                <w:rFonts w:ascii="Times New Roman" w:hAnsi="Times New Roman"/>
                <w:b w:val="0"/>
                <w:color w:val="37352F"/>
                <w:sz w:val="20"/>
              </w:rPr>
              <w:t>47.00</w:t>
            </w:r>
          </w:p>
        </w:tc>
        <w:tc>
          <w:tcPr>
            <w:tcW w:type="dxa" w:w="1134"/>
            <w:vAlign w:val="center"/>
          </w:tcPr>
          <w:p>
            <w:pPr>
              <w:spacing w:line="276" w:lineRule="auto" w:after="0"/>
            </w:pPr>
            <w:r/>
            <w:r>
              <w:rPr>
                <w:rFonts w:ascii="Times New Roman" w:hAnsi="Times New Roman"/>
                <w:b w:val="0"/>
                <w:color w:val="37352F"/>
                <w:sz w:val="20"/>
              </w:rPr>
              <w:t>94.43</w:t>
            </w:r>
          </w:p>
        </w:tc>
        <w:tc>
          <w:tcPr>
            <w:tcW w:type="dxa" w:w="1134"/>
            <w:vAlign w:val="center"/>
          </w:tcPr>
          <w:p>
            <w:pPr>
              <w:spacing w:line="276" w:lineRule="auto" w:after="0"/>
            </w:pPr>
            <w:r/>
            <w:r>
              <w:rPr>
                <w:rFonts w:ascii="Times New Roman" w:hAnsi="Times New Roman"/>
                <w:b w:val="0"/>
                <w:color w:val="37352F"/>
                <w:sz w:val="20"/>
              </w:rPr>
              <w:t>70.71</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t>Phi-3-Vision-4.2B</w:t>
            </w:r>
          </w:p>
        </w:tc>
        <w:tc>
          <w:tcPr>
            <w:tcW w:type="dxa" w:w="1247"/>
            <w:vAlign w:val="center"/>
            <w:shd w:val="clear" w:color="auto" w:fill="F7F7F5"/>
          </w:tcPr>
          <w:p>
            <w:pPr>
              <w:spacing w:line="276" w:lineRule="auto" w:after="0"/>
            </w:pPr>
            <w:r/>
            <w:r>
              <w:rPr>
                <w:rFonts w:ascii="Times New Roman" w:hAnsi="Times New Roman"/>
                <w:b w:val="0"/>
                <w:color w:val="37352F"/>
                <w:sz w:val="20"/>
              </w:rPr>
              <w:t>Greedy</w:t>
            </w:r>
          </w:p>
        </w:tc>
        <w:tc>
          <w:tcPr>
            <w:tcW w:type="dxa" w:w="1134"/>
            <w:vAlign w:val="center"/>
            <w:shd w:val="clear" w:color="auto" w:fill="F7F7F5"/>
          </w:tcPr>
          <w:p>
            <w:pPr>
              <w:spacing w:line="276" w:lineRule="auto" w:after="0"/>
            </w:pPr>
            <w:r/>
            <w:r>
              <w:rPr>
                <w:rFonts w:ascii="Times New Roman" w:hAnsi="Times New Roman"/>
                <w:b w:val="0"/>
                <w:color w:val="37352F"/>
                <w:sz w:val="20"/>
              </w:rPr>
              <w:t>46.17</w:t>
            </w:r>
          </w:p>
        </w:tc>
        <w:tc>
          <w:tcPr>
            <w:tcW w:type="dxa" w:w="1134"/>
            <w:vAlign w:val="center"/>
            <w:shd w:val="clear" w:color="auto" w:fill="F7F7F5"/>
          </w:tcPr>
          <w:p>
            <w:pPr>
              <w:spacing w:line="276" w:lineRule="auto" w:after="0"/>
            </w:pPr>
            <w:r/>
            <w:r>
              <w:rPr>
                <w:rFonts w:ascii="Times New Roman" w:hAnsi="Times New Roman"/>
                <w:b w:val="0"/>
                <w:color w:val="37352F"/>
                <w:sz w:val="20"/>
              </w:rPr>
              <w:t>91.92</w:t>
            </w:r>
          </w:p>
        </w:tc>
        <w:tc>
          <w:tcPr>
            <w:tcW w:type="dxa" w:w="1134"/>
            <w:vAlign w:val="center"/>
            <w:shd w:val="clear" w:color="auto" w:fill="F7F7F5"/>
          </w:tcPr>
          <w:p>
            <w:pPr>
              <w:spacing w:line="276" w:lineRule="auto" w:after="0"/>
            </w:pPr>
            <w:r/>
            <w:r>
              <w:rPr>
                <w:rFonts w:ascii="Times New Roman" w:hAnsi="Times New Roman"/>
                <w:b w:val="0"/>
                <w:color w:val="37352F"/>
                <w:sz w:val="20"/>
              </w:rPr>
              <w:t>69.05</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CD+APC</w:t>
            </w:r>
          </w:p>
        </w:tc>
        <w:tc>
          <w:tcPr>
            <w:tcW w:type="dxa" w:w="1134"/>
            <w:vAlign w:val="center"/>
          </w:tcPr>
          <w:p>
            <w:pPr>
              <w:spacing w:line="276" w:lineRule="auto" w:after="0"/>
            </w:pPr>
            <w:r/>
            <w:r>
              <w:rPr>
                <w:rFonts w:ascii="Times New Roman" w:hAnsi="Times New Roman"/>
                <w:b w:val="0"/>
                <w:color w:val="37352F"/>
                <w:sz w:val="20"/>
              </w:rPr>
              <w:t>75.57</w:t>
            </w:r>
          </w:p>
        </w:tc>
        <w:tc>
          <w:tcPr>
            <w:tcW w:type="dxa" w:w="1134"/>
            <w:vAlign w:val="center"/>
          </w:tcPr>
          <w:p>
            <w:pPr>
              <w:spacing w:line="276" w:lineRule="auto" w:after="0"/>
            </w:pPr>
            <w:r/>
            <w:r>
              <w:rPr>
                <w:rFonts w:ascii="Times New Roman" w:hAnsi="Times New Roman"/>
                <w:b w:val="0"/>
                <w:color w:val="37352F"/>
                <w:sz w:val="20"/>
              </w:rPr>
              <w:t>77.99</w:t>
            </w:r>
          </w:p>
        </w:tc>
        <w:tc>
          <w:tcPr>
            <w:tcW w:type="dxa" w:w="1134"/>
            <w:vAlign w:val="center"/>
          </w:tcPr>
          <w:p>
            <w:pPr>
              <w:spacing w:line="276" w:lineRule="auto" w:after="0"/>
            </w:pPr>
            <w:r/>
            <w:r>
              <w:rPr>
                <w:rFonts w:ascii="Times New Roman" w:hAnsi="Times New Roman"/>
                <w:b w:val="0"/>
                <w:color w:val="37352F"/>
                <w:sz w:val="20"/>
              </w:rPr>
              <w:t>76.78</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EGCD</w:t>
            </w:r>
          </w:p>
        </w:tc>
        <w:tc>
          <w:tcPr>
            <w:tcW w:type="dxa" w:w="1134"/>
            <w:vAlign w:val="center"/>
            <w:shd w:val="clear" w:color="auto" w:fill="F7F7F5"/>
          </w:tcPr>
          <w:p>
            <w:pPr>
              <w:spacing w:line="276" w:lineRule="auto" w:after="0"/>
            </w:pPr>
            <w:r/>
            <w:r>
              <w:rPr>
                <w:rFonts w:ascii="Times New Roman" w:hAnsi="Times New Roman"/>
                <w:b w:val="0"/>
                <w:color w:val="37352F"/>
                <w:sz w:val="20"/>
              </w:rPr>
              <w:t>72.88</w:t>
            </w:r>
          </w:p>
        </w:tc>
        <w:tc>
          <w:tcPr>
            <w:tcW w:type="dxa" w:w="1134"/>
            <w:vAlign w:val="center"/>
            <w:shd w:val="clear" w:color="auto" w:fill="F7F7F5"/>
          </w:tcPr>
          <w:p>
            <w:pPr>
              <w:spacing w:line="276" w:lineRule="auto" w:after="0"/>
            </w:pPr>
            <w:r/>
            <w:r>
              <w:rPr>
                <w:rFonts w:ascii="Times New Roman" w:hAnsi="Times New Roman"/>
                <w:b w:val="0"/>
                <w:color w:val="37352F"/>
                <w:sz w:val="20"/>
              </w:rPr>
              <w:t>81.34</w:t>
            </w:r>
          </w:p>
        </w:tc>
        <w:tc>
          <w:tcPr>
            <w:tcW w:type="dxa" w:w="1134"/>
            <w:vAlign w:val="center"/>
            <w:shd w:val="clear" w:color="auto" w:fill="F7F7F5"/>
          </w:tcPr>
          <w:p>
            <w:pPr>
              <w:spacing w:line="276" w:lineRule="auto" w:after="0"/>
            </w:pPr>
            <w:r/>
            <w:r>
              <w:rPr>
                <w:rFonts w:ascii="Times New Roman" w:hAnsi="Times New Roman"/>
                <w:b w:val="0"/>
                <w:color w:val="37352F"/>
                <w:sz w:val="20"/>
              </w:rPr>
              <w:t>77.11</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t>0.57</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VCD</w:t>
            </w:r>
          </w:p>
        </w:tc>
        <w:tc>
          <w:tcPr>
            <w:tcW w:type="dxa" w:w="1134"/>
            <w:vAlign w:val="center"/>
          </w:tcPr>
          <w:p>
            <w:pPr>
              <w:spacing w:line="276" w:lineRule="auto" w:after="0"/>
            </w:pPr>
            <w:r/>
            <w:r>
              <w:rPr>
                <w:rFonts w:ascii="Times New Roman" w:hAnsi="Times New Roman"/>
                <w:b w:val="0"/>
                <w:color w:val="37352F"/>
                <w:sz w:val="20"/>
              </w:rPr>
              <w:t>41.61</w:t>
            </w:r>
          </w:p>
        </w:tc>
        <w:tc>
          <w:tcPr>
            <w:tcW w:type="dxa" w:w="1134"/>
            <w:vAlign w:val="center"/>
          </w:tcPr>
          <w:p>
            <w:pPr>
              <w:spacing w:line="276" w:lineRule="auto" w:after="0"/>
            </w:pPr>
            <w:r/>
            <w:r>
              <w:rPr>
                <w:rFonts w:ascii="Times New Roman" w:hAnsi="Times New Roman"/>
                <w:b w:val="0"/>
                <w:color w:val="37352F"/>
                <w:sz w:val="20"/>
              </w:rPr>
              <w:t>91.09</w:t>
            </w:r>
          </w:p>
        </w:tc>
        <w:tc>
          <w:tcPr>
            <w:tcW w:type="dxa" w:w="1134"/>
            <w:vAlign w:val="center"/>
          </w:tcPr>
          <w:p>
            <w:pPr>
              <w:spacing w:line="276" w:lineRule="auto" w:after="0"/>
            </w:pPr>
            <w:r/>
            <w:r>
              <w:rPr>
                <w:rFonts w:ascii="Times New Roman" w:hAnsi="Times New Roman"/>
                <w:b w:val="0"/>
                <w:color w:val="37352F"/>
                <w:sz w:val="20"/>
              </w:rPr>
              <w:t>66.35</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SID</w:t>
            </w:r>
          </w:p>
        </w:tc>
        <w:tc>
          <w:tcPr>
            <w:tcW w:type="dxa" w:w="1134"/>
            <w:vAlign w:val="center"/>
            <w:shd w:val="clear" w:color="auto" w:fill="F7F7F5"/>
          </w:tcPr>
          <w:p>
            <w:pPr>
              <w:spacing w:line="276" w:lineRule="auto" w:after="0"/>
            </w:pPr>
            <w:r/>
            <w:r>
              <w:rPr>
                <w:rFonts w:ascii="Times New Roman" w:hAnsi="Times New Roman"/>
                <w:b w:val="0"/>
                <w:color w:val="37352F"/>
                <w:sz w:val="20"/>
              </w:rPr>
              <w:t>42.03</w:t>
            </w:r>
          </w:p>
        </w:tc>
        <w:tc>
          <w:tcPr>
            <w:tcW w:type="dxa" w:w="1134"/>
            <w:vAlign w:val="center"/>
            <w:shd w:val="clear" w:color="auto" w:fill="F7F7F5"/>
          </w:tcPr>
          <w:p>
            <w:pPr>
              <w:spacing w:line="276" w:lineRule="auto" w:after="0"/>
            </w:pPr>
            <w:r/>
            <w:r>
              <w:rPr>
                <w:rFonts w:ascii="Times New Roman" w:hAnsi="Times New Roman"/>
                <w:b w:val="0"/>
                <w:color w:val="37352F"/>
                <w:sz w:val="20"/>
              </w:rPr>
              <w:t>93.31</w:t>
            </w:r>
          </w:p>
        </w:tc>
        <w:tc>
          <w:tcPr>
            <w:tcW w:type="dxa" w:w="1134"/>
            <w:vAlign w:val="center"/>
            <w:shd w:val="clear" w:color="auto" w:fill="F7F7F5"/>
          </w:tcPr>
          <w:p>
            <w:pPr>
              <w:spacing w:line="276" w:lineRule="auto" w:after="0"/>
            </w:pPr>
            <w:r/>
            <w:r>
              <w:rPr>
                <w:rFonts w:ascii="Times New Roman" w:hAnsi="Times New Roman"/>
                <w:b w:val="0"/>
                <w:color w:val="37352F"/>
                <w:sz w:val="20"/>
              </w:rPr>
              <w:t>67.67</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t>SmolVLM2-2.2B</w:t>
            </w:r>
          </w:p>
        </w:tc>
        <w:tc>
          <w:tcPr>
            <w:tcW w:type="dxa" w:w="1247"/>
            <w:vAlign w:val="center"/>
          </w:tcPr>
          <w:p>
            <w:pPr>
              <w:spacing w:line="276" w:lineRule="auto" w:after="0"/>
            </w:pPr>
            <w:r/>
            <w:r>
              <w:rPr>
                <w:rFonts w:ascii="Times New Roman" w:hAnsi="Times New Roman"/>
                <w:b w:val="0"/>
                <w:color w:val="37352F"/>
                <w:sz w:val="20"/>
              </w:rPr>
              <w:t>Greedy</w:t>
            </w:r>
          </w:p>
        </w:tc>
        <w:tc>
          <w:tcPr>
            <w:tcW w:type="dxa" w:w="1134"/>
            <w:vAlign w:val="center"/>
          </w:tcPr>
          <w:p>
            <w:pPr>
              <w:spacing w:line="276" w:lineRule="auto" w:after="0"/>
            </w:pPr>
            <w:r/>
            <w:r>
              <w:rPr>
                <w:rFonts w:ascii="Times New Roman" w:hAnsi="Times New Roman"/>
                <w:b w:val="0"/>
                <w:color w:val="37352F"/>
                <w:sz w:val="20"/>
              </w:rPr>
              <w:t>31.47</w:t>
            </w:r>
          </w:p>
        </w:tc>
        <w:tc>
          <w:tcPr>
            <w:tcW w:type="dxa" w:w="1134"/>
            <w:vAlign w:val="center"/>
          </w:tcPr>
          <w:p>
            <w:pPr>
              <w:spacing w:line="276" w:lineRule="auto" w:after="0"/>
            </w:pPr>
            <w:r/>
            <w:r>
              <w:rPr>
                <w:rFonts w:ascii="Times New Roman" w:hAnsi="Times New Roman"/>
                <w:b w:val="0"/>
                <w:color w:val="37352F"/>
                <w:sz w:val="20"/>
              </w:rPr>
              <w:t>95.54</w:t>
            </w:r>
          </w:p>
        </w:tc>
        <w:tc>
          <w:tcPr>
            <w:tcW w:type="dxa" w:w="1134"/>
            <w:vAlign w:val="center"/>
          </w:tcPr>
          <w:p>
            <w:pPr>
              <w:spacing w:line="276" w:lineRule="auto" w:after="0"/>
            </w:pPr>
            <w:r/>
            <w:r>
              <w:rPr>
                <w:rFonts w:ascii="Times New Roman" w:hAnsi="Times New Roman"/>
                <w:b w:val="0"/>
                <w:color w:val="37352F"/>
                <w:sz w:val="20"/>
              </w:rPr>
              <w:t>63.51</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134"/>
            <w:vAlign w:val="center"/>
            <w:shd w:val="clear" w:color="auto" w:fill="F7F7F5"/>
          </w:tcPr>
          <w:p>
            <w:pPr>
              <w:spacing w:line="276" w:lineRule="auto" w:after="0"/>
            </w:pPr>
            <w:r/>
            <w:r>
              <w:rPr>
                <w:rFonts w:ascii="Times New Roman" w:hAnsi="Times New Roman"/>
                <w:b w:val="0"/>
                <w:color w:val="37352F"/>
                <w:sz w:val="20"/>
              </w:rPr>
              <w:t>49.69</w:t>
            </w:r>
          </w:p>
        </w:tc>
        <w:tc>
          <w:tcPr>
            <w:tcW w:type="dxa" w:w="1134"/>
            <w:vAlign w:val="center"/>
            <w:shd w:val="clear" w:color="auto" w:fill="F7F7F5"/>
          </w:tcPr>
          <w:p>
            <w:pPr>
              <w:spacing w:line="276" w:lineRule="auto" w:after="0"/>
            </w:pPr>
            <w:r/>
            <w:r>
              <w:rPr>
                <w:rFonts w:ascii="Times New Roman" w:hAnsi="Times New Roman"/>
                <w:b w:val="0"/>
                <w:color w:val="37352F"/>
                <w:sz w:val="20"/>
              </w:rPr>
              <w:t>84.40</w:t>
            </w:r>
          </w:p>
        </w:tc>
        <w:tc>
          <w:tcPr>
            <w:tcW w:type="dxa" w:w="1134"/>
            <w:vAlign w:val="center"/>
            <w:shd w:val="clear" w:color="auto" w:fill="F7F7F5"/>
          </w:tcPr>
          <w:p>
            <w:pPr>
              <w:spacing w:line="276" w:lineRule="auto" w:after="0"/>
            </w:pPr>
            <w:r/>
            <w:r>
              <w:rPr>
                <w:rFonts w:ascii="Times New Roman" w:hAnsi="Times New Roman"/>
                <w:b w:val="0"/>
                <w:color w:val="37352F"/>
                <w:sz w:val="20"/>
              </w:rPr>
              <w:t>67.05</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134"/>
            <w:vAlign w:val="center"/>
          </w:tcPr>
          <w:p>
            <w:pPr>
              <w:spacing w:line="276" w:lineRule="auto" w:after="0"/>
            </w:pPr>
            <w:r/>
            <w:r>
              <w:rPr>
                <w:rFonts w:ascii="Times New Roman" w:hAnsi="Times New Roman"/>
                <w:b w:val="0"/>
                <w:color w:val="37352F"/>
                <w:sz w:val="20"/>
              </w:rPr>
              <w:t>48.03</w:t>
            </w:r>
          </w:p>
        </w:tc>
        <w:tc>
          <w:tcPr>
            <w:tcW w:type="dxa" w:w="1134"/>
            <w:vAlign w:val="center"/>
          </w:tcPr>
          <w:p>
            <w:pPr>
              <w:spacing w:line="276" w:lineRule="auto" w:after="0"/>
            </w:pPr>
            <w:r/>
            <w:r>
              <w:rPr>
                <w:rFonts w:ascii="Times New Roman" w:hAnsi="Times New Roman"/>
                <w:b w:val="0"/>
                <w:color w:val="37352F"/>
                <w:sz w:val="20"/>
              </w:rPr>
              <w:t>86.63</w:t>
            </w:r>
          </w:p>
        </w:tc>
        <w:tc>
          <w:tcPr>
            <w:tcW w:type="dxa" w:w="1134"/>
            <w:vAlign w:val="center"/>
          </w:tcPr>
          <w:p>
            <w:pPr>
              <w:spacing w:line="276" w:lineRule="auto" w:after="0"/>
            </w:pPr>
            <w:r/>
            <w:r>
              <w:rPr>
                <w:rFonts w:ascii="Times New Roman" w:hAnsi="Times New Roman"/>
                <w:b w:val="0"/>
                <w:color w:val="37352F"/>
                <w:sz w:val="20"/>
              </w:rPr>
              <w:t>67.33</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t>0.68</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134"/>
            <w:vAlign w:val="center"/>
            <w:shd w:val="clear" w:color="auto" w:fill="F7F7F5"/>
          </w:tcPr>
          <w:p>
            <w:pPr>
              <w:spacing w:line="276" w:lineRule="auto" w:after="0"/>
            </w:pPr>
            <w:r/>
            <w:r>
              <w:rPr>
                <w:rFonts w:ascii="Times New Roman" w:hAnsi="Times New Roman"/>
                <w:b w:val="0"/>
                <w:color w:val="37352F"/>
                <w:sz w:val="20"/>
              </w:rPr>
              <w:t>53.62</w:t>
            </w:r>
          </w:p>
        </w:tc>
        <w:tc>
          <w:tcPr>
            <w:tcW w:type="dxa" w:w="1134"/>
            <w:vAlign w:val="center"/>
            <w:shd w:val="clear" w:color="auto" w:fill="F7F7F5"/>
          </w:tcPr>
          <w:p>
            <w:pPr>
              <w:spacing w:line="276" w:lineRule="auto" w:after="0"/>
            </w:pPr>
            <w:r/>
            <w:r>
              <w:rPr>
                <w:rFonts w:ascii="Times New Roman" w:hAnsi="Times New Roman"/>
                <w:b w:val="0"/>
                <w:color w:val="37352F"/>
                <w:sz w:val="20"/>
              </w:rPr>
              <w:t>81.89</w:t>
            </w:r>
          </w:p>
        </w:tc>
        <w:tc>
          <w:tcPr>
            <w:tcW w:type="dxa" w:w="1134"/>
            <w:vAlign w:val="center"/>
            <w:shd w:val="clear" w:color="auto" w:fill="F7F7F5"/>
          </w:tcPr>
          <w:p>
            <w:pPr>
              <w:spacing w:line="276" w:lineRule="auto" w:after="0"/>
            </w:pPr>
            <w:r/>
            <w:r>
              <w:rPr>
                <w:rFonts w:ascii="Times New Roman" w:hAnsi="Times New Roman"/>
                <w:b w:val="0"/>
                <w:color w:val="37352F"/>
                <w:sz w:val="20"/>
              </w:rPr>
              <w:t>67.76</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134"/>
            <w:vAlign w:val="center"/>
          </w:tcPr>
          <w:p>
            <w:pPr>
              <w:spacing w:line="276" w:lineRule="auto" w:after="0"/>
            </w:pPr>
            <w:r/>
            <w:r>
              <w:rPr>
                <w:rFonts w:ascii="Times New Roman" w:hAnsi="Times New Roman"/>
                <w:b w:val="0"/>
                <w:color w:val="37352F"/>
                <w:sz w:val="20"/>
              </w:rPr>
              <w:t>31.47</w:t>
            </w:r>
          </w:p>
        </w:tc>
        <w:tc>
          <w:tcPr>
            <w:tcW w:type="dxa" w:w="1134"/>
            <w:vAlign w:val="center"/>
          </w:tcPr>
          <w:p>
            <w:pPr>
              <w:spacing w:line="276" w:lineRule="auto" w:after="0"/>
            </w:pPr>
            <w:r/>
            <w:r>
              <w:rPr>
                <w:rFonts w:ascii="Times New Roman" w:hAnsi="Times New Roman"/>
                <w:b w:val="0"/>
                <w:color w:val="37352F"/>
                <w:sz w:val="20"/>
              </w:rPr>
              <w:t>95.54</w:t>
            </w:r>
          </w:p>
        </w:tc>
        <w:tc>
          <w:tcPr>
            <w:tcW w:type="dxa" w:w="1134"/>
            <w:vAlign w:val="center"/>
          </w:tcPr>
          <w:p>
            <w:pPr>
              <w:spacing w:line="276" w:lineRule="auto" w:after="0"/>
            </w:pPr>
            <w:r/>
            <w:r>
              <w:rPr>
                <w:rFonts w:ascii="Times New Roman" w:hAnsi="Times New Roman"/>
                <w:b w:val="0"/>
                <w:color w:val="37352F"/>
                <w:sz w:val="20"/>
              </w:rPr>
              <w:t>63.51</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t>Qwen2.5-VL-7B</w:t>
            </w:r>
          </w:p>
        </w:tc>
        <w:tc>
          <w:tcPr>
            <w:tcW w:type="dxa" w:w="1247"/>
            <w:vAlign w:val="center"/>
            <w:shd w:val="clear" w:color="auto" w:fill="F7F7F5"/>
          </w:tcPr>
          <w:p>
            <w:pPr>
              <w:spacing w:line="276" w:lineRule="auto" w:after="0"/>
            </w:pPr>
            <w:r/>
            <w:r>
              <w:rPr>
                <w:rFonts w:ascii="Times New Roman" w:hAnsi="Times New Roman"/>
                <w:b w:val="0"/>
                <w:color w:val="37352F"/>
                <w:sz w:val="20"/>
              </w:rPr>
              <w:t>Greedy</w:t>
            </w:r>
          </w:p>
        </w:tc>
        <w:tc>
          <w:tcPr>
            <w:tcW w:type="dxa" w:w="1134"/>
            <w:vAlign w:val="center"/>
            <w:shd w:val="clear" w:color="auto" w:fill="F7F7F5"/>
          </w:tcPr>
          <w:p>
            <w:pPr>
              <w:spacing w:line="276" w:lineRule="auto" w:after="0"/>
            </w:pPr>
            <w:r/>
            <w:r>
              <w:rPr>
                <w:rFonts w:ascii="Times New Roman" w:hAnsi="Times New Roman"/>
                <w:b w:val="0"/>
                <w:color w:val="37352F"/>
                <w:sz w:val="20"/>
              </w:rPr>
              <w:t>59.01</w:t>
            </w:r>
          </w:p>
        </w:tc>
        <w:tc>
          <w:tcPr>
            <w:tcW w:type="dxa" w:w="1134"/>
            <w:vAlign w:val="center"/>
            <w:shd w:val="clear" w:color="auto" w:fill="F7F7F5"/>
          </w:tcPr>
          <w:p>
            <w:pPr>
              <w:spacing w:line="276" w:lineRule="auto" w:after="0"/>
            </w:pPr>
            <w:r/>
            <w:r>
              <w:rPr>
                <w:rFonts w:ascii="Times New Roman" w:hAnsi="Times New Roman"/>
                <w:b w:val="0"/>
                <w:color w:val="37352F"/>
                <w:sz w:val="20"/>
              </w:rPr>
              <w:t>98.89</w:t>
            </w:r>
          </w:p>
        </w:tc>
        <w:tc>
          <w:tcPr>
            <w:tcW w:type="dxa" w:w="1134"/>
            <w:vAlign w:val="center"/>
            <w:shd w:val="clear" w:color="auto" w:fill="F7F7F5"/>
          </w:tcPr>
          <w:p>
            <w:pPr>
              <w:spacing w:line="276" w:lineRule="auto" w:after="0"/>
            </w:pPr>
            <w:r/>
            <w:r>
              <w:rPr>
                <w:rFonts w:ascii="Times New Roman" w:hAnsi="Times New Roman"/>
                <w:b w:val="0"/>
                <w:color w:val="37352F"/>
                <w:sz w:val="20"/>
              </w:rPr>
              <w:t>78.95</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CD+APC</w:t>
            </w:r>
          </w:p>
        </w:tc>
        <w:tc>
          <w:tcPr>
            <w:tcW w:type="dxa" w:w="1134"/>
            <w:vAlign w:val="center"/>
          </w:tcPr>
          <w:p>
            <w:pPr>
              <w:spacing w:line="276" w:lineRule="auto" w:after="0"/>
            </w:pPr>
            <w:r/>
            <w:r>
              <w:rPr>
                <w:rFonts w:ascii="Times New Roman" w:hAnsi="Times New Roman"/>
                <w:b w:val="0"/>
                <w:color w:val="37352F"/>
                <w:sz w:val="20"/>
              </w:rPr>
              <w:t>67.29</w:t>
            </w:r>
          </w:p>
        </w:tc>
        <w:tc>
          <w:tcPr>
            <w:tcW w:type="dxa" w:w="1134"/>
            <w:vAlign w:val="center"/>
          </w:tcPr>
          <w:p>
            <w:pPr>
              <w:spacing w:line="276" w:lineRule="auto" w:after="0"/>
            </w:pPr>
            <w:r/>
            <w:r>
              <w:rPr>
                <w:rFonts w:ascii="Times New Roman" w:hAnsi="Times New Roman"/>
                <w:b w:val="0"/>
                <w:color w:val="37352F"/>
                <w:sz w:val="20"/>
              </w:rPr>
              <w:t>95.82</w:t>
            </w:r>
          </w:p>
        </w:tc>
        <w:tc>
          <w:tcPr>
            <w:tcW w:type="dxa" w:w="1134"/>
            <w:vAlign w:val="center"/>
          </w:tcPr>
          <w:p>
            <w:pPr>
              <w:spacing w:line="276" w:lineRule="auto" w:after="0"/>
            </w:pPr>
            <w:r/>
            <w:r>
              <w:rPr>
                <w:rFonts w:ascii="Times New Roman" w:hAnsi="Times New Roman"/>
                <w:b w:val="0"/>
                <w:color w:val="37352F"/>
                <w:sz w:val="20"/>
              </w:rPr>
              <w:t>81.55</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EGCD</w:t>
            </w:r>
          </w:p>
        </w:tc>
        <w:tc>
          <w:tcPr>
            <w:tcW w:type="dxa" w:w="1134"/>
            <w:vAlign w:val="center"/>
            <w:shd w:val="clear" w:color="auto" w:fill="F7F7F5"/>
          </w:tcPr>
          <w:p>
            <w:pPr>
              <w:spacing w:line="276" w:lineRule="auto" w:after="0"/>
            </w:pPr>
            <w:r/>
            <w:r>
              <w:rPr>
                <w:rFonts w:ascii="Times New Roman" w:hAnsi="Times New Roman"/>
                <w:b w:val="0"/>
                <w:color w:val="37352F"/>
                <w:sz w:val="20"/>
              </w:rPr>
              <w:t>64.18</w:t>
            </w:r>
          </w:p>
        </w:tc>
        <w:tc>
          <w:tcPr>
            <w:tcW w:type="dxa" w:w="1134"/>
            <w:vAlign w:val="center"/>
            <w:shd w:val="clear" w:color="auto" w:fill="F7F7F5"/>
          </w:tcPr>
          <w:p>
            <w:pPr>
              <w:spacing w:line="276" w:lineRule="auto" w:after="0"/>
            </w:pPr>
            <w:r/>
            <w:r>
              <w:rPr>
                <w:rFonts w:ascii="Times New Roman" w:hAnsi="Times New Roman"/>
                <w:b w:val="0"/>
                <w:color w:val="37352F"/>
                <w:sz w:val="20"/>
              </w:rPr>
              <w:t>97.77</w:t>
            </w:r>
          </w:p>
        </w:tc>
        <w:tc>
          <w:tcPr>
            <w:tcW w:type="dxa" w:w="1134"/>
            <w:vAlign w:val="center"/>
            <w:shd w:val="clear" w:color="auto" w:fill="F7F7F5"/>
          </w:tcPr>
          <w:p>
            <w:pPr>
              <w:spacing w:line="276" w:lineRule="auto" w:after="0"/>
            </w:pPr>
            <w:r/>
            <w:r>
              <w:rPr>
                <w:rFonts w:ascii="Times New Roman" w:hAnsi="Times New Roman"/>
                <w:b w:val="0"/>
                <w:color w:val="37352F"/>
                <w:sz w:val="20"/>
              </w:rPr>
              <w:t>80.98</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t>0.64</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VCD</w:t>
            </w:r>
          </w:p>
        </w:tc>
        <w:tc>
          <w:tcPr>
            <w:tcW w:type="dxa" w:w="1134"/>
            <w:vAlign w:val="center"/>
          </w:tcPr>
          <w:p>
            <w:pPr>
              <w:spacing w:line="276" w:lineRule="auto" w:after="0"/>
            </w:pPr>
            <w:r/>
            <w:r>
              <w:rPr>
                <w:rFonts w:ascii="Times New Roman" w:hAnsi="Times New Roman"/>
                <w:b w:val="0"/>
                <w:color w:val="37352F"/>
                <w:sz w:val="20"/>
              </w:rPr>
              <w:t>59.01</w:t>
            </w:r>
          </w:p>
        </w:tc>
        <w:tc>
          <w:tcPr>
            <w:tcW w:type="dxa" w:w="1134"/>
            <w:vAlign w:val="center"/>
          </w:tcPr>
          <w:p>
            <w:pPr>
              <w:spacing w:line="276" w:lineRule="auto" w:after="0"/>
            </w:pPr>
            <w:r/>
            <w:r>
              <w:rPr>
                <w:rFonts w:ascii="Times New Roman" w:hAnsi="Times New Roman"/>
                <w:b w:val="0"/>
                <w:color w:val="37352F"/>
                <w:sz w:val="20"/>
              </w:rPr>
              <w:t>97.77</w:t>
            </w:r>
          </w:p>
        </w:tc>
        <w:tc>
          <w:tcPr>
            <w:tcW w:type="dxa" w:w="1134"/>
            <w:vAlign w:val="center"/>
          </w:tcPr>
          <w:p>
            <w:pPr>
              <w:spacing w:line="276" w:lineRule="auto" w:after="0"/>
            </w:pPr>
            <w:r/>
            <w:r>
              <w:rPr>
                <w:rFonts w:ascii="Times New Roman" w:hAnsi="Times New Roman"/>
                <w:b w:val="0"/>
                <w:color w:val="37352F"/>
                <w:sz w:val="20"/>
              </w:rPr>
              <w:t>78.39</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SID</w:t>
            </w:r>
          </w:p>
        </w:tc>
        <w:tc>
          <w:tcPr>
            <w:tcW w:type="dxa" w:w="1134"/>
            <w:vAlign w:val="center"/>
            <w:shd w:val="clear" w:color="auto" w:fill="F7F7F5"/>
          </w:tcPr>
          <w:p>
            <w:pPr>
              <w:spacing w:line="276" w:lineRule="auto" w:after="0"/>
            </w:pPr>
            <w:r/>
            <w:r>
              <w:rPr>
                <w:rFonts w:ascii="Times New Roman" w:hAnsi="Times New Roman"/>
                <w:b w:val="0"/>
                <w:color w:val="37352F"/>
                <w:sz w:val="20"/>
              </w:rPr>
              <w:t>59.01</w:t>
            </w:r>
          </w:p>
        </w:tc>
        <w:tc>
          <w:tcPr>
            <w:tcW w:type="dxa" w:w="1134"/>
            <w:vAlign w:val="center"/>
            <w:shd w:val="clear" w:color="auto" w:fill="F7F7F5"/>
          </w:tcPr>
          <w:p>
            <w:pPr>
              <w:spacing w:line="276" w:lineRule="auto" w:after="0"/>
            </w:pPr>
            <w:r/>
            <w:r>
              <w:rPr>
                <w:rFonts w:ascii="Times New Roman" w:hAnsi="Times New Roman"/>
                <w:b w:val="0"/>
                <w:color w:val="37352F"/>
                <w:sz w:val="20"/>
              </w:rPr>
              <w:t>98.89</w:t>
            </w:r>
          </w:p>
        </w:tc>
        <w:tc>
          <w:tcPr>
            <w:tcW w:type="dxa" w:w="1134"/>
            <w:vAlign w:val="center"/>
            <w:shd w:val="clear" w:color="auto" w:fill="F7F7F5"/>
          </w:tcPr>
          <w:p>
            <w:pPr>
              <w:spacing w:line="276" w:lineRule="auto" w:after="0"/>
            </w:pPr>
            <w:r/>
            <w:r>
              <w:rPr>
                <w:rFonts w:ascii="Times New Roman" w:hAnsi="Times New Roman"/>
                <w:b w:val="0"/>
                <w:color w:val="37352F"/>
                <w:sz w:val="20"/>
              </w:rPr>
              <w:t>78.95</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t>Idefics2-8B</w:t>
            </w:r>
          </w:p>
        </w:tc>
        <w:tc>
          <w:tcPr>
            <w:tcW w:type="dxa" w:w="1247"/>
            <w:vAlign w:val="center"/>
          </w:tcPr>
          <w:p>
            <w:pPr>
              <w:spacing w:line="276" w:lineRule="auto" w:after="0"/>
            </w:pPr>
            <w:r/>
            <w:r>
              <w:rPr>
                <w:rFonts w:ascii="Times New Roman" w:hAnsi="Times New Roman"/>
                <w:b w:val="0"/>
                <w:color w:val="37352F"/>
                <w:sz w:val="20"/>
              </w:rPr>
              <w:t>Greedy</w:t>
            </w:r>
          </w:p>
        </w:tc>
        <w:tc>
          <w:tcPr>
            <w:tcW w:type="dxa" w:w="1134"/>
            <w:vAlign w:val="center"/>
          </w:tcPr>
          <w:p>
            <w:pPr>
              <w:spacing w:line="276" w:lineRule="auto" w:after="0"/>
            </w:pPr>
            <w:r/>
            <w:r>
              <w:rPr>
                <w:rFonts w:ascii="Times New Roman" w:hAnsi="Times New Roman"/>
                <w:b w:val="0"/>
                <w:color w:val="37352F"/>
                <w:sz w:val="20"/>
              </w:rPr>
              <w:t>76.19</w:t>
            </w:r>
          </w:p>
        </w:tc>
        <w:tc>
          <w:tcPr>
            <w:tcW w:type="dxa" w:w="1134"/>
            <w:vAlign w:val="center"/>
          </w:tcPr>
          <w:p>
            <w:pPr>
              <w:spacing w:line="276" w:lineRule="auto" w:after="0"/>
            </w:pPr>
            <w:r/>
            <w:r>
              <w:rPr>
                <w:rFonts w:ascii="Times New Roman" w:hAnsi="Times New Roman"/>
                <w:b w:val="0"/>
                <w:color w:val="37352F"/>
                <w:sz w:val="20"/>
              </w:rPr>
              <w:t>88.86</w:t>
            </w:r>
          </w:p>
        </w:tc>
        <w:tc>
          <w:tcPr>
            <w:tcW w:type="dxa" w:w="1134"/>
            <w:vAlign w:val="center"/>
          </w:tcPr>
          <w:p>
            <w:pPr>
              <w:spacing w:line="276" w:lineRule="auto" w:after="0"/>
            </w:pPr>
            <w:r/>
            <w:r>
              <w:rPr>
                <w:rFonts w:ascii="Times New Roman" w:hAnsi="Times New Roman"/>
                <w:b w:val="0"/>
                <w:color w:val="37352F"/>
                <w:sz w:val="20"/>
              </w:rPr>
              <w:t>82.52</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134"/>
            <w:vAlign w:val="center"/>
            <w:shd w:val="clear" w:color="auto" w:fill="F7F7F5"/>
          </w:tcPr>
          <w:p>
            <w:pPr>
              <w:spacing w:line="276" w:lineRule="auto" w:after="0"/>
            </w:pPr>
            <w:r/>
            <w:r>
              <w:rPr>
                <w:rFonts w:ascii="Times New Roman" w:hAnsi="Times New Roman"/>
                <w:b w:val="0"/>
                <w:color w:val="37352F"/>
                <w:sz w:val="20"/>
              </w:rPr>
              <w:t>75.57</w:t>
            </w:r>
          </w:p>
        </w:tc>
        <w:tc>
          <w:tcPr>
            <w:tcW w:type="dxa" w:w="1134"/>
            <w:vAlign w:val="center"/>
            <w:shd w:val="clear" w:color="auto" w:fill="F7F7F5"/>
          </w:tcPr>
          <w:p>
            <w:pPr>
              <w:spacing w:line="276" w:lineRule="auto" w:after="0"/>
            </w:pPr>
            <w:r/>
            <w:r>
              <w:rPr>
                <w:rFonts w:ascii="Times New Roman" w:hAnsi="Times New Roman"/>
                <w:b w:val="0"/>
                <w:color w:val="37352F"/>
                <w:sz w:val="20"/>
              </w:rPr>
              <w:t>87.74</w:t>
            </w:r>
          </w:p>
        </w:tc>
        <w:tc>
          <w:tcPr>
            <w:tcW w:type="dxa" w:w="1134"/>
            <w:vAlign w:val="center"/>
            <w:shd w:val="clear" w:color="auto" w:fill="F7F7F5"/>
          </w:tcPr>
          <w:p>
            <w:pPr>
              <w:spacing w:line="276" w:lineRule="auto" w:after="0"/>
            </w:pPr>
            <w:r/>
            <w:r>
              <w:rPr>
                <w:rFonts w:ascii="Times New Roman" w:hAnsi="Times New Roman"/>
                <w:b w:val="0"/>
                <w:color w:val="37352F"/>
                <w:sz w:val="20"/>
              </w:rPr>
              <w:t>81.66</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134"/>
            <w:vAlign w:val="center"/>
          </w:tcPr>
          <w:p>
            <w:pPr>
              <w:spacing w:line="276" w:lineRule="auto" w:after="0"/>
            </w:pPr>
            <w:r/>
            <w:r>
              <w:rPr>
                <w:rFonts w:ascii="Times New Roman" w:hAnsi="Times New Roman"/>
                <w:b w:val="0"/>
                <w:color w:val="37352F"/>
                <w:sz w:val="20"/>
              </w:rPr>
              <w:t>76.81</w:t>
            </w:r>
          </w:p>
        </w:tc>
        <w:tc>
          <w:tcPr>
            <w:tcW w:type="dxa" w:w="1134"/>
            <w:vAlign w:val="center"/>
          </w:tcPr>
          <w:p>
            <w:pPr>
              <w:spacing w:line="276" w:lineRule="auto" w:after="0"/>
            </w:pPr>
            <w:r/>
            <w:r>
              <w:rPr>
                <w:rFonts w:ascii="Times New Roman" w:hAnsi="Times New Roman"/>
                <w:b w:val="0"/>
                <w:color w:val="37352F"/>
                <w:sz w:val="20"/>
              </w:rPr>
              <w:t>87.74</w:t>
            </w:r>
          </w:p>
        </w:tc>
        <w:tc>
          <w:tcPr>
            <w:tcW w:type="dxa" w:w="1134"/>
            <w:vAlign w:val="center"/>
          </w:tcPr>
          <w:p>
            <w:pPr>
              <w:spacing w:line="276" w:lineRule="auto" w:after="0"/>
            </w:pPr>
            <w:r/>
            <w:r>
              <w:rPr>
                <w:rFonts w:ascii="Times New Roman" w:hAnsi="Times New Roman"/>
                <w:b w:val="0"/>
                <w:color w:val="37352F"/>
                <w:sz w:val="20"/>
              </w:rPr>
              <w:t>82.28</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t>0.66</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134"/>
            <w:vAlign w:val="center"/>
            <w:shd w:val="clear" w:color="auto" w:fill="F7F7F5"/>
          </w:tcPr>
          <w:p>
            <w:pPr>
              <w:spacing w:line="276" w:lineRule="auto" w:after="0"/>
            </w:pPr>
            <w:r/>
            <w:r>
              <w:rPr>
                <w:rFonts w:ascii="Times New Roman" w:hAnsi="Times New Roman"/>
                <w:b w:val="0"/>
                <w:color w:val="37352F"/>
                <w:sz w:val="20"/>
              </w:rPr>
              <w:t>77.64</w:t>
            </w:r>
          </w:p>
        </w:tc>
        <w:tc>
          <w:tcPr>
            <w:tcW w:type="dxa" w:w="1134"/>
            <w:vAlign w:val="center"/>
            <w:shd w:val="clear" w:color="auto" w:fill="F7F7F5"/>
          </w:tcPr>
          <w:p>
            <w:pPr>
              <w:spacing w:line="276" w:lineRule="auto" w:after="0"/>
            </w:pPr>
            <w:r/>
            <w:r>
              <w:rPr>
                <w:rFonts w:ascii="Times New Roman" w:hAnsi="Times New Roman"/>
                <w:b w:val="0"/>
                <w:color w:val="37352F"/>
                <w:sz w:val="20"/>
              </w:rPr>
              <w:t>84.96</w:t>
            </w:r>
          </w:p>
        </w:tc>
        <w:tc>
          <w:tcPr>
            <w:tcW w:type="dxa" w:w="1134"/>
            <w:vAlign w:val="center"/>
            <w:shd w:val="clear" w:color="auto" w:fill="F7F7F5"/>
          </w:tcPr>
          <w:p>
            <w:pPr>
              <w:spacing w:line="276" w:lineRule="auto" w:after="0"/>
            </w:pPr>
            <w:r/>
            <w:r>
              <w:rPr>
                <w:rFonts w:ascii="Times New Roman" w:hAnsi="Times New Roman"/>
                <w:b w:val="0"/>
                <w:color w:val="37352F"/>
                <w:sz w:val="20"/>
              </w:rPr>
              <w:t>81.30</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134"/>
            <w:vAlign w:val="center"/>
          </w:tcPr>
          <w:p>
            <w:pPr>
              <w:spacing w:line="276" w:lineRule="auto" w:after="0"/>
            </w:pPr>
            <w:r/>
            <w:r>
              <w:rPr>
                <w:rFonts w:ascii="Times New Roman" w:hAnsi="Times New Roman"/>
                <w:b w:val="0"/>
                <w:color w:val="37352F"/>
                <w:sz w:val="20"/>
              </w:rPr>
              <w:t>76.60</w:t>
            </w:r>
          </w:p>
        </w:tc>
        <w:tc>
          <w:tcPr>
            <w:tcW w:type="dxa" w:w="1134"/>
            <w:vAlign w:val="center"/>
          </w:tcPr>
          <w:p>
            <w:pPr>
              <w:spacing w:line="276" w:lineRule="auto" w:after="0"/>
            </w:pPr>
            <w:r/>
            <w:r>
              <w:rPr>
                <w:rFonts w:ascii="Times New Roman" w:hAnsi="Times New Roman"/>
                <w:b w:val="0"/>
                <w:color w:val="37352F"/>
                <w:sz w:val="20"/>
              </w:rPr>
              <w:t>88.86</w:t>
            </w:r>
          </w:p>
        </w:tc>
        <w:tc>
          <w:tcPr>
            <w:tcW w:type="dxa" w:w="1134"/>
            <w:vAlign w:val="center"/>
          </w:tcPr>
          <w:p>
            <w:pPr>
              <w:spacing w:line="276" w:lineRule="auto" w:after="0"/>
            </w:pPr>
            <w:r/>
            <w:r>
              <w:rPr>
                <w:rFonts w:ascii="Times New Roman" w:hAnsi="Times New Roman"/>
                <w:b w:val="0"/>
                <w:color w:val="37352F"/>
                <w:sz w:val="20"/>
              </w:rPr>
              <w:t>82.73</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t>LLaVA-1.5-7B</w:t>
            </w:r>
          </w:p>
        </w:tc>
        <w:tc>
          <w:tcPr>
            <w:tcW w:type="dxa" w:w="1247"/>
            <w:vAlign w:val="center"/>
            <w:shd w:val="clear" w:color="auto" w:fill="F7F7F5"/>
          </w:tcPr>
          <w:p>
            <w:pPr>
              <w:spacing w:line="276" w:lineRule="auto" w:after="0"/>
            </w:pPr>
            <w:r/>
            <w:r>
              <w:rPr>
                <w:rFonts w:ascii="Times New Roman" w:hAnsi="Times New Roman"/>
                <w:b w:val="0"/>
                <w:color w:val="37352F"/>
                <w:sz w:val="20"/>
              </w:rPr>
              <w:t>Greedy</w:t>
            </w:r>
          </w:p>
        </w:tc>
        <w:tc>
          <w:tcPr>
            <w:tcW w:type="dxa" w:w="1134"/>
            <w:vAlign w:val="center"/>
            <w:shd w:val="clear" w:color="auto" w:fill="F7F7F5"/>
          </w:tcPr>
          <w:p>
            <w:pPr>
              <w:spacing w:line="276" w:lineRule="auto" w:after="0"/>
            </w:pPr>
            <w:r/>
            <w:r>
              <w:rPr>
                <w:rFonts w:ascii="Times New Roman" w:hAnsi="Times New Roman"/>
                <w:b w:val="0"/>
                <w:color w:val="37352F"/>
                <w:sz w:val="20"/>
              </w:rPr>
              <w:t>67.49</w:t>
            </w:r>
          </w:p>
        </w:tc>
        <w:tc>
          <w:tcPr>
            <w:tcW w:type="dxa" w:w="1134"/>
            <w:vAlign w:val="center"/>
            <w:shd w:val="clear" w:color="auto" w:fill="F7F7F5"/>
          </w:tcPr>
          <w:p>
            <w:pPr>
              <w:spacing w:line="276" w:lineRule="auto" w:after="0"/>
            </w:pPr>
            <w:r/>
            <w:r>
              <w:rPr>
                <w:rFonts w:ascii="Times New Roman" w:hAnsi="Times New Roman"/>
                <w:b w:val="0"/>
                <w:color w:val="37352F"/>
                <w:sz w:val="20"/>
              </w:rPr>
              <w:t>82.73</w:t>
            </w:r>
          </w:p>
        </w:tc>
        <w:tc>
          <w:tcPr>
            <w:tcW w:type="dxa" w:w="1134"/>
            <w:vAlign w:val="center"/>
            <w:shd w:val="clear" w:color="auto" w:fill="F7F7F5"/>
          </w:tcPr>
          <w:p>
            <w:pPr>
              <w:spacing w:line="276" w:lineRule="auto" w:after="0"/>
            </w:pPr>
            <w:r/>
            <w:r>
              <w:rPr>
                <w:rFonts w:ascii="Times New Roman" w:hAnsi="Times New Roman"/>
                <w:b w:val="0"/>
                <w:color w:val="37352F"/>
                <w:sz w:val="20"/>
              </w:rPr>
              <w:t>75.11</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CD+APC</w:t>
            </w:r>
          </w:p>
        </w:tc>
        <w:tc>
          <w:tcPr>
            <w:tcW w:type="dxa" w:w="1134"/>
            <w:vAlign w:val="center"/>
          </w:tcPr>
          <w:p>
            <w:pPr>
              <w:spacing w:line="276" w:lineRule="auto" w:after="0"/>
            </w:pPr>
            <w:r/>
            <w:r>
              <w:rPr>
                <w:rFonts w:ascii="Times New Roman" w:hAnsi="Times New Roman"/>
                <w:b w:val="0"/>
                <w:color w:val="37352F"/>
                <w:sz w:val="20"/>
              </w:rPr>
              <w:t>35.20</w:t>
            </w:r>
          </w:p>
        </w:tc>
        <w:tc>
          <w:tcPr>
            <w:tcW w:type="dxa" w:w="1134"/>
            <w:vAlign w:val="center"/>
          </w:tcPr>
          <w:p>
            <w:pPr>
              <w:spacing w:line="276" w:lineRule="auto" w:after="0"/>
            </w:pPr>
            <w:r/>
            <w:r>
              <w:rPr>
                <w:rFonts w:ascii="Times New Roman" w:hAnsi="Times New Roman"/>
                <w:b w:val="0"/>
                <w:color w:val="37352F"/>
                <w:sz w:val="20"/>
              </w:rPr>
              <w:t>94.99</w:t>
            </w:r>
          </w:p>
        </w:tc>
        <w:tc>
          <w:tcPr>
            <w:tcW w:type="dxa" w:w="1134"/>
            <w:vAlign w:val="center"/>
          </w:tcPr>
          <w:p>
            <w:pPr>
              <w:spacing w:line="276" w:lineRule="auto" w:after="0"/>
            </w:pPr>
            <w:r/>
            <w:r>
              <w:rPr>
                <w:rFonts w:ascii="Times New Roman" w:hAnsi="Times New Roman"/>
                <w:b w:val="0"/>
                <w:color w:val="37352F"/>
                <w:sz w:val="20"/>
              </w:rPr>
              <w:t>65.09</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EGCD</w:t>
            </w:r>
          </w:p>
        </w:tc>
        <w:tc>
          <w:tcPr>
            <w:tcW w:type="dxa" w:w="1134"/>
            <w:vAlign w:val="center"/>
            <w:shd w:val="clear" w:color="auto" w:fill="F7F7F5"/>
          </w:tcPr>
          <w:p>
            <w:pPr>
              <w:spacing w:line="276" w:lineRule="auto" w:after="0"/>
            </w:pPr>
            <w:r/>
            <w:r>
              <w:rPr>
                <w:rFonts w:ascii="Times New Roman" w:hAnsi="Times New Roman"/>
                <w:b w:val="0"/>
                <w:color w:val="37352F"/>
                <w:sz w:val="20"/>
              </w:rPr>
              <w:t>67.49</w:t>
            </w:r>
          </w:p>
        </w:tc>
        <w:tc>
          <w:tcPr>
            <w:tcW w:type="dxa" w:w="1134"/>
            <w:vAlign w:val="center"/>
            <w:shd w:val="clear" w:color="auto" w:fill="F7F7F5"/>
          </w:tcPr>
          <w:p>
            <w:pPr>
              <w:spacing w:line="276" w:lineRule="auto" w:after="0"/>
            </w:pPr>
            <w:r/>
            <w:r>
              <w:rPr>
                <w:rFonts w:ascii="Times New Roman" w:hAnsi="Times New Roman"/>
                <w:b w:val="0"/>
                <w:color w:val="37352F"/>
                <w:sz w:val="20"/>
              </w:rPr>
              <w:t>82.73</w:t>
            </w:r>
          </w:p>
        </w:tc>
        <w:tc>
          <w:tcPr>
            <w:tcW w:type="dxa" w:w="1134"/>
            <w:vAlign w:val="center"/>
            <w:shd w:val="clear" w:color="auto" w:fill="F7F7F5"/>
          </w:tcPr>
          <w:p>
            <w:pPr>
              <w:spacing w:line="276" w:lineRule="auto" w:after="0"/>
            </w:pPr>
            <w:r/>
            <w:r>
              <w:rPr>
                <w:rFonts w:ascii="Times New Roman" w:hAnsi="Times New Roman"/>
                <w:b w:val="0"/>
                <w:color w:val="37352F"/>
                <w:sz w:val="20"/>
              </w:rPr>
              <w:t>75.11</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t>0.70</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VCD</w:t>
            </w:r>
          </w:p>
        </w:tc>
        <w:tc>
          <w:tcPr>
            <w:tcW w:type="dxa" w:w="1134"/>
            <w:vAlign w:val="center"/>
          </w:tcPr>
          <w:p>
            <w:pPr>
              <w:spacing w:line="276" w:lineRule="auto" w:after="0"/>
            </w:pPr>
            <w:r/>
            <w:r>
              <w:rPr>
                <w:rFonts w:ascii="Times New Roman" w:hAnsi="Times New Roman"/>
                <w:b w:val="0"/>
                <w:color w:val="37352F"/>
                <w:sz w:val="20"/>
              </w:rPr>
              <w:t>75.98</w:t>
            </w:r>
          </w:p>
        </w:tc>
        <w:tc>
          <w:tcPr>
            <w:tcW w:type="dxa" w:w="1134"/>
            <w:vAlign w:val="center"/>
          </w:tcPr>
          <w:p>
            <w:pPr>
              <w:spacing w:line="276" w:lineRule="auto" w:after="0"/>
            </w:pPr>
            <w:r/>
            <w:r>
              <w:rPr>
                <w:rFonts w:ascii="Times New Roman" w:hAnsi="Times New Roman"/>
                <w:b w:val="0"/>
                <w:color w:val="37352F"/>
                <w:sz w:val="20"/>
              </w:rPr>
              <w:t>70.75</w:t>
            </w:r>
          </w:p>
        </w:tc>
        <w:tc>
          <w:tcPr>
            <w:tcW w:type="dxa" w:w="1134"/>
            <w:vAlign w:val="center"/>
          </w:tcPr>
          <w:p>
            <w:pPr>
              <w:spacing w:line="276" w:lineRule="auto" w:after="0"/>
            </w:pPr>
            <w:r/>
            <w:r>
              <w:rPr>
                <w:rFonts w:ascii="Times New Roman" w:hAnsi="Times New Roman"/>
                <w:b w:val="0"/>
                <w:color w:val="37352F"/>
                <w:sz w:val="20"/>
              </w:rPr>
              <w:t>73.37</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SID</w:t>
            </w:r>
          </w:p>
        </w:tc>
        <w:tc>
          <w:tcPr>
            <w:tcW w:type="dxa" w:w="1134"/>
            <w:vAlign w:val="center"/>
            <w:shd w:val="clear" w:color="auto" w:fill="F7F7F5"/>
          </w:tcPr>
          <w:p>
            <w:pPr>
              <w:spacing w:line="276" w:lineRule="auto" w:after="0"/>
            </w:pPr>
            <w:r/>
            <w:r>
              <w:rPr>
                <w:rFonts w:ascii="Times New Roman" w:hAnsi="Times New Roman"/>
                <w:b w:val="0"/>
                <w:color w:val="37352F"/>
                <w:sz w:val="20"/>
              </w:rPr>
              <w:t>72.05</w:t>
            </w:r>
          </w:p>
        </w:tc>
        <w:tc>
          <w:tcPr>
            <w:tcW w:type="dxa" w:w="1134"/>
            <w:vAlign w:val="center"/>
            <w:shd w:val="clear" w:color="auto" w:fill="F7F7F5"/>
          </w:tcPr>
          <w:p>
            <w:pPr>
              <w:spacing w:line="276" w:lineRule="auto" w:after="0"/>
            </w:pPr>
            <w:r/>
            <w:r>
              <w:rPr>
                <w:rFonts w:ascii="Times New Roman" w:hAnsi="Times New Roman"/>
                <w:b w:val="0"/>
                <w:color w:val="37352F"/>
                <w:sz w:val="20"/>
              </w:rPr>
              <w:t>76.32</w:t>
            </w:r>
          </w:p>
        </w:tc>
        <w:tc>
          <w:tcPr>
            <w:tcW w:type="dxa" w:w="1134"/>
            <w:vAlign w:val="center"/>
            <w:shd w:val="clear" w:color="auto" w:fill="F7F7F5"/>
          </w:tcPr>
          <w:p>
            <w:pPr>
              <w:spacing w:line="276" w:lineRule="auto" w:after="0"/>
            </w:pPr>
            <w:r/>
            <w:r>
              <w:rPr>
                <w:rFonts w:ascii="Times New Roman" w:hAnsi="Times New Roman"/>
                <w:b w:val="0"/>
                <w:color w:val="37352F"/>
                <w:sz w:val="20"/>
              </w:rPr>
              <w:t>74.19</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t>LLaVA-v1.6-Mistral-7B</w:t>
            </w:r>
          </w:p>
        </w:tc>
        <w:tc>
          <w:tcPr>
            <w:tcW w:type="dxa" w:w="1247"/>
            <w:vAlign w:val="center"/>
          </w:tcPr>
          <w:p>
            <w:pPr>
              <w:spacing w:line="276" w:lineRule="auto" w:after="0"/>
            </w:pPr>
            <w:r/>
            <w:r>
              <w:rPr>
                <w:rFonts w:ascii="Times New Roman" w:hAnsi="Times New Roman"/>
                <w:b w:val="0"/>
                <w:color w:val="37352F"/>
                <w:sz w:val="20"/>
              </w:rPr>
              <w:t>Greedy</w:t>
            </w:r>
          </w:p>
        </w:tc>
        <w:tc>
          <w:tcPr>
            <w:tcW w:type="dxa" w:w="1134"/>
            <w:vAlign w:val="center"/>
          </w:tcPr>
          <w:p>
            <w:pPr>
              <w:spacing w:line="276" w:lineRule="auto" w:after="0"/>
            </w:pPr>
            <w:r/>
            <w:r>
              <w:rPr>
                <w:rFonts w:ascii="Times New Roman" w:hAnsi="Times New Roman"/>
                <w:b w:val="0"/>
                <w:color w:val="37352F"/>
                <w:sz w:val="20"/>
              </w:rPr>
              <w:t>78.47</w:t>
            </w:r>
          </w:p>
        </w:tc>
        <w:tc>
          <w:tcPr>
            <w:tcW w:type="dxa" w:w="1134"/>
            <w:vAlign w:val="center"/>
          </w:tcPr>
          <w:p>
            <w:pPr>
              <w:spacing w:line="276" w:lineRule="auto" w:after="0"/>
            </w:pPr>
            <w:r/>
            <w:r>
              <w:rPr>
                <w:rFonts w:ascii="Times New Roman" w:hAnsi="Times New Roman"/>
                <w:b w:val="0"/>
                <w:color w:val="37352F"/>
                <w:sz w:val="20"/>
              </w:rPr>
              <w:t>93.04</w:t>
            </w:r>
          </w:p>
        </w:tc>
        <w:tc>
          <w:tcPr>
            <w:tcW w:type="dxa" w:w="1134"/>
            <w:vAlign w:val="center"/>
          </w:tcPr>
          <w:p>
            <w:pPr>
              <w:spacing w:line="276" w:lineRule="auto" w:after="0"/>
            </w:pPr>
            <w:r/>
            <w:r>
              <w:rPr>
                <w:rFonts w:ascii="Times New Roman" w:hAnsi="Times New Roman"/>
                <w:b w:val="0"/>
                <w:color w:val="37352F"/>
                <w:sz w:val="20"/>
              </w:rPr>
              <w:t>85.75</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134"/>
            <w:vAlign w:val="center"/>
            <w:shd w:val="clear" w:color="auto" w:fill="F7F7F5"/>
          </w:tcPr>
          <w:p>
            <w:pPr>
              <w:spacing w:line="276" w:lineRule="auto" w:after="0"/>
            </w:pPr>
            <w:r/>
            <w:r>
              <w:rPr>
                <w:rFonts w:ascii="Times New Roman" w:hAnsi="Times New Roman"/>
                <w:b w:val="0"/>
                <w:color w:val="37352F"/>
                <w:sz w:val="20"/>
              </w:rPr>
              <w:t>63.35</w:t>
            </w:r>
          </w:p>
        </w:tc>
        <w:tc>
          <w:tcPr>
            <w:tcW w:type="dxa" w:w="1134"/>
            <w:vAlign w:val="center"/>
            <w:shd w:val="clear" w:color="auto" w:fill="F7F7F5"/>
          </w:tcPr>
          <w:p>
            <w:pPr>
              <w:spacing w:line="276" w:lineRule="auto" w:after="0"/>
            </w:pPr>
            <w:r/>
            <w:r>
              <w:rPr>
                <w:rFonts w:ascii="Times New Roman" w:hAnsi="Times New Roman"/>
                <w:b w:val="0"/>
                <w:color w:val="37352F"/>
                <w:sz w:val="20"/>
              </w:rPr>
              <w:t>86.91</w:t>
            </w:r>
          </w:p>
        </w:tc>
        <w:tc>
          <w:tcPr>
            <w:tcW w:type="dxa" w:w="1134"/>
            <w:vAlign w:val="center"/>
            <w:shd w:val="clear" w:color="auto" w:fill="F7F7F5"/>
          </w:tcPr>
          <w:p>
            <w:pPr>
              <w:spacing w:line="276" w:lineRule="auto" w:after="0"/>
            </w:pPr>
            <w:r/>
            <w:r>
              <w:rPr>
                <w:rFonts w:ascii="Times New Roman" w:hAnsi="Times New Roman"/>
                <w:b w:val="0"/>
                <w:color w:val="37352F"/>
                <w:sz w:val="20"/>
              </w:rPr>
              <w:t>75.13</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134"/>
            <w:vAlign w:val="center"/>
          </w:tcPr>
          <w:p>
            <w:pPr>
              <w:spacing w:line="276" w:lineRule="auto" w:after="0"/>
            </w:pPr>
            <w:r/>
            <w:r>
              <w:rPr>
                <w:rFonts w:ascii="Times New Roman" w:hAnsi="Times New Roman"/>
                <w:b w:val="0"/>
                <w:color w:val="37352F"/>
                <w:sz w:val="20"/>
              </w:rPr>
              <w:t>78.26</w:t>
            </w:r>
          </w:p>
        </w:tc>
        <w:tc>
          <w:tcPr>
            <w:tcW w:type="dxa" w:w="1134"/>
            <w:vAlign w:val="center"/>
          </w:tcPr>
          <w:p>
            <w:pPr>
              <w:spacing w:line="276" w:lineRule="auto" w:after="0"/>
            </w:pPr>
            <w:r/>
            <w:r>
              <w:rPr>
                <w:rFonts w:ascii="Times New Roman" w:hAnsi="Times New Roman"/>
                <w:b w:val="0"/>
                <w:color w:val="37352F"/>
                <w:sz w:val="20"/>
              </w:rPr>
              <w:t>93.04</w:t>
            </w:r>
          </w:p>
        </w:tc>
        <w:tc>
          <w:tcPr>
            <w:tcW w:type="dxa" w:w="1134"/>
            <w:vAlign w:val="center"/>
          </w:tcPr>
          <w:p>
            <w:pPr>
              <w:spacing w:line="276" w:lineRule="auto" w:after="0"/>
            </w:pPr>
            <w:r/>
            <w:r>
              <w:rPr>
                <w:rFonts w:ascii="Times New Roman" w:hAnsi="Times New Roman"/>
                <w:b w:val="0"/>
                <w:color w:val="37352F"/>
                <w:sz w:val="20"/>
              </w:rPr>
              <w:t>85.65</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t>0.70</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134"/>
            <w:vAlign w:val="center"/>
            <w:shd w:val="clear" w:color="auto" w:fill="F7F7F5"/>
          </w:tcPr>
          <w:p>
            <w:pPr>
              <w:spacing w:line="276" w:lineRule="auto" w:after="0"/>
            </w:pPr>
            <w:r/>
            <w:r>
              <w:rPr>
                <w:rFonts w:ascii="Times New Roman" w:hAnsi="Times New Roman"/>
                <w:b w:val="0"/>
                <w:color w:val="37352F"/>
                <w:sz w:val="20"/>
              </w:rPr>
              <w:t>75.57</w:t>
            </w:r>
          </w:p>
        </w:tc>
        <w:tc>
          <w:tcPr>
            <w:tcW w:type="dxa" w:w="1134"/>
            <w:vAlign w:val="center"/>
            <w:shd w:val="clear" w:color="auto" w:fill="F7F7F5"/>
          </w:tcPr>
          <w:p>
            <w:pPr>
              <w:spacing w:line="276" w:lineRule="auto" w:after="0"/>
            </w:pPr>
            <w:r/>
            <w:r>
              <w:rPr>
                <w:rFonts w:ascii="Times New Roman" w:hAnsi="Times New Roman"/>
                <w:b w:val="0"/>
                <w:color w:val="37352F"/>
                <w:sz w:val="20"/>
              </w:rPr>
              <w:t>91.36</w:t>
            </w:r>
          </w:p>
        </w:tc>
        <w:tc>
          <w:tcPr>
            <w:tcW w:type="dxa" w:w="1134"/>
            <w:vAlign w:val="center"/>
            <w:shd w:val="clear" w:color="auto" w:fill="F7F7F5"/>
          </w:tcPr>
          <w:p>
            <w:pPr>
              <w:spacing w:line="276" w:lineRule="auto" w:after="0"/>
            </w:pPr>
            <w:r/>
            <w:r>
              <w:rPr>
                <w:rFonts w:ascii="Times New Roman" w:hAnsi="Times New Roman"/>
                <w:b w:val="0"/>
                <w:color w:val="37352F"/>
                <w:sz w:val="20"/>
              </w:rPr>
              <w:t>83.47</w:t>
            </w:r>
          </w:p>
        </w:tc>
        <w:tc>
          <w:tcPr>
            <w:tcW w:type="dxa" w:w="680"/>
            <w:vAlign w:val="center"/>
            <w:shd w:val="clear" w:color="auto" w:fill="F7F7F5"/>
          </w:tcPr>
          <w:p>
            <w:pPr>
              <w:spacing w:line="276" w:lineRule="auto" w:after="0"/>
              <w:jc w:val="right"/>
            </w:pPr>
            <w:r/>
            <w:r>
              <w:rPr>
                <w:rFonts w:ascii="Times New Roman" w:hAnsi="Times New Roman"/>
                <w:b w:val="0"/>
                <w:color w:val="37352F"/>
                <w:sz w:val="20"/>
              </w:rPr>
              <w:t>842</w:t>
            </w:r>
          </w:p>
        </w:tc>
        <w:tc>
          <w:tcPr>
            <w:tcW w:type="dxa" w:w="680"/>
            <w:vAlign w:val="center"/>
            <w:shd w:val="clear" w:color="auto" w:fill="F7F7F5"/>
          </w:tcPr>
          <w:p>
            <w:pPr>
              <w:spacing w:line="276" w:lineRule="auto" w:after="0"/>
            </w:pPr>
            <w:r/>
            <w:r>
              <w:rPr>
                <w:rFonts w:ascii="Times New Roman" w:hAnsi="Times New Roman"/>
                <w:b w:val="0"/>
                <w:color w:val="37352F"/>
                <w:sz w:val="20"/>
              </w:rPr>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134"/>
            <w:vAlign w:val="center"/>
          </w:tcPr>
          <w:p>
            <w:pPr>
              <w:spacing w:line="276" w:lineRule="auto" w:after="0"/>
            </w:pPr>
            <w:r/>
            <w:r>
              <w:rPr>
                <w:rFonts w:ascii="Times New Roman" w:hAnsi="Times New Roman"/>
                <w:b w:val="0"/>
                <w:color w:val="37352F"/>
                <w:sz w:val="20"/>
              </w:rPr>
              <w:t>78.47</w:t>
            </w:r>
          </w:p>
        </w:tc>
        <w:tc>
          <w:tcPr>
            <w:tcW w:type="dxa" w:w="1134"/>
            <w:vAlign w:val="center"/>
          </w:tcPr>
          <w:p>
            <w:pPr>
              <w:spacing w:line="276" w:lineRule="auto" w:after="0"/>
            </w:pPr>
            <w:r/>
            <w:r>
              <w:rPr>
                <w:rFonts w:ascii="Times New Roman" w:hAnsi="Times New Roman"/>
                <w:b w:val="0"/>
                <w:color w:val="37352F"/>
                <w:sz w:val="20"/>
              </w:rPr>
              <w:t>93.04</w:t>
            </w:r>
          </w:p>
        </w:tc>
        <w:tc>
          <w:tcPr>
            <w:tcW w:type="dxa" w:w="1134"/>
            <w:vAlign w:val="center"/>
          </w:tcPr>
          <w:p>
            <w:pPr>
              <w:spacing w:line="276" w:lineRule="auto" w:after="0"/>
            </w:pPr>
            <w:r/>
            <w:r>
              <w:rPr>
                <w:rFonts w:ascii="Times New Roman" w:hAnsi="Times New Roman"/>
                <w:b w:val="0"/>
                <w:color w:val="37352F"/>
                <w:sz w:val="20"/>
              </w:rPr>
              <w:t>85.75</w:t>
            </w:r>
          </w:p>
        </w:tc>
        <w:tc>
          <w:tcPr>
            <w:tcW w:type="dxa" w:w="680"/>
            <w:vAlign w:val="center"/>
          </w:tcPr>
          <w:p>
            <w:pPr>
              <w:spacing w:line="276" w:lineRule="auto" w:after="0"/>
              <w:jc w:val="right"/>
            </w:pPr>
            <w:r/>
            <w:r>
              <w:rPr>
                <w:rFonts w:ascii="Times New Roman" w:hAnsi="Times New Roman"/>
                <w:b w:val="0"/>
                <w:color w:val="37352F"/>
                <w:sz w:val="20"/>
              </w:rPr>
              <w:t>842</w:t>
            </w:r>
          </w:p>
        </w:tc>
        <w:tc>
          <w:tcPr>
            <w:tcW w:type="dxa" w:w="680"/>
            <w:vAlign w:val="center"/>
          </w:tcPr>
          <w:p>
            <w:pPr>
              <w:spacing w:line="276" w:lineRule="auto" w:after="0"/>
            </w:pPr>
            <w:r/>
            <w:r>
              <w:rPr>
                <w:rFonts w:ascii="Times New Roman" w:hAnsi="Times New Roman"/>
                <w:b w:val="0"/>
                <w:color w:val="37352F"/>
                <w:sz w:val="20"/>
              </w:rPr>
            </w:r>
          </w:p>
        </w:tc>
      </w:tr>
    </w:tbl>
    <w:p>
      <w:pPr>
        <w:spacing w:line="312" w:lineRule="auto" w:after="80"/>
        <w:ind w:firstLine="482"/>
        <w:jc w:val="both"/>
      </w:pPr>
      <w:r>
        <w:rPr>
          <w:rFonts w:ascii="Times New Roman" w:hAnsi="Times New Roman"/>
          <w:color w:val="37352F"/>
          <w:sz w:val="24"/>
        </w:rPr>
      </w:r>
    </w:p>
    <w:p>
      <w:pPr>
        <w:spacing w:line="312" w:lineRule="auto" w:after="80"/>
        <w:ind w:firstLine="482"/>
        <w:jc w:val="both"/>
      </w:pPr>
      <w:r>
        <w:rPr>
          <w:rFonts w:ascii="Times New Roman" w:hAnsi="Times New Roman"/>
          <w:color w:val="37352F"/>
          <w:sz w:val="24"/>
        </w:rPr>
        <w:t>Replace the existing Table 1 in Section 5.1 verbatim with the table above. The selected thresholds τ* are 0.70, 0.57, 0.68, 0.64, 0.66, 0.70, and 0.70 for Qwen2-VL-2B, Phi-3-Vision-4.2B, SmolVLM2-2.2B, Qwen2.5-VL-7B, Idefics2-8B, LLaVA-1.5-7B, and LLaVA-v1.6-Mistral-7B respectively. Update Appendix Table A1 (the tuning-half sweep) with the new sweep values, which are available in the consolidated Excel file (Tuning_Sweep sheet).</w:t>
      </w:r>
    </w:p>
    <w:p>
      <w:pPr>
        <w:keepNext/>
        <w:spacing w:before="360" w:after="120"/>
      </w:pPr>
      <w:r>
        <w:rPr>
          <w:rFonts w:ascii="Times New Roman" w:hAnsi="Times New Roman"/>
          <w:b/>
          <w:color w:val="1B2A4A"/>
          <w:sz w:val="32"/>
        </w:rPr>
        <w:t>3. McNemar Exact Test (replaces infeasible p-values)</w:t>
      </w:r>
    </w:p>
    <w:p>
      <w:pPr>
        <w:spacing w:line="312" w:lineRule="auto" w:after="80"/>
        <w:ind w:firstLine="482"/>
        <w:jc w:val="both"/>
      </w:pPr>
      <w:r>
        <w:rPr>
          <w:rFonts w:ascii="Times New Roman" w:hAnsi="Times New Roman"/>
          <w:color w:val="37352F"/>
          <w:sz w:val="24"/>
        </w:rPr>
        <w:t>The old paper reported p &gt; 0.99 for Phi-3, SmolVLM2, and Idefics2, which was mathematically infeasible given the reported marginals. The re-analysis computes exact two-sided McNemar tests directly from paired per-item correctness counts on the held-out 842 queries. The discordant-pair counts (a = both correct, b = CD-only correct, c = EGCD-only correct, d = both wrong) are reported so the test is fully reproducible.</w:t>
      </w:r>
    </w:p>
    <w:tbl>
      <w:tblPr>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2268"/>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Model</w:t>
            </w:r>
          </w:p>
        </w:tc>
        <w:tc>
          <w:tcPr>
            <w:tcW w:type="dxa" w:w="680"/>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N</w:t>
            </w:r>
          </w:p>
        </w:tc>
        <w:tc>
          <w:tcPr>
            <w:tcW w:type="dxa" w:w="850"/>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EGCD ok</w:t>
            </w:r>
          </w:p>
        </w:tc>
        <w:tc>
          <w:tcPr>
            <w:tcW w:type="dxa" w:w="680"/>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CD ok</w:t>
            </w:r>
          </w:p>
        </w:tc>
        <w:tc>
          <w:tcPr>
            <w:tcW w:type="dxa" w:w="1020"/>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b (CD only)</w:t>
            </w:r>
          </w:p>
        </w:tc>
        <w:tc>
          <w:tcPr>
            <w:tcW w:type="dxa" w:w="1020"/>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c (EGCD only)</w:t>
            </w:r>
          </w:p>
        </w:tc>
        <w:tc>
          <w:tcPr>
            <w:tcW w:type="dxa" w:w="1247"/>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exact p</w:t>
            </w:r>
          </w:p>
        </w:tc>
        <w:tc>
          <w:tcPr>
            <w:tcW w:type="dxa" w:w="1134"/>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sig</w:t>
            </w:r>
          </w:p>
        </w:tc>
      </w:tr>
      <w:tr>
        <w:tc>
          <w:tcPr>
            <w:tcW w:type="dxa" w:w="2268"/>
            <w:vAlign w:val="center"/>
          </w:tcPr>
          <w:p>
            <w:pPr>
              <w:spacing w:line="276" w:lineRule="auto" w:after="0"/>
            </w:pPr>
            <w:r/>
            <w:r>
              <w:rPr>
                <w:rFonts w:ascii="Times New Roman" w:hAnsi="Times New Roman"/>
                <w:b w:val="0"/>
                <w:color w:val="37352F"/>
                <w:sz w:val="20"/>
              </w:rPr>
              <w:t>Qwen2-VL-2B</w:t>
            </w:r>
          </w:p>
        </w:tc>
        <w:tc>
          <w:tcPr>
            <w:tcW w:type="dxa" w:w="680"/>
            <w:vAlign w:val="center"/>
          </w:tcPr>
          <w:p>
            <w:pPr>
              <w:spacing w:line="276" w:lineRule="auto" w:after="0"/>
            </w:pPr>
            <w:r/>
            <w:r>
              <w:rPr>
                <w:rFonts w:ascii="Times New Roman" w:hAnsi="Times New Roman"/>
                <w:b w:val="0"/>
                <w:color w:val="37352F"/>
                <w:sz w:val="20"/>
              </w:rPr>
              <w:t>842</w:t>
            </w:r>
          </w:p>
        </w:tc>
        <w:tc>
          <w:tcPr>
            <w:tcW w:type="dxa" w:w="850"/>
            <w:vAlign w:val="center"/>
          </w:tcPr>
          <w:p>
            <w:pPr>
              <w:spacing w:line="276" w:lineRule="auto" w:after="0"/>
            </w:pPr>
            <w:r/>
            <w:r>
              <w:rPr>
                <w:rFonts w:ascii="Times New Roman" w:hAnsi="Times New Roman"/>
                <w:b w:val="0"/>
                <w:color w:val="37352F"/>
                <w:sz w:val="20"/>
              </w:rPr>
              <w:t>668</w:t>
            </w:r>
          </w:p>
        </w:tc>
        <w:tc>
          <w:tcPr>
            <w:tcW w:type="dxa" w:w="680"/>
            <w:vAlign w:val="center"/>
          </w:tcPr>
          <w:p>
            <w:pPr>
              <w:spacing w:line="276" w:lineRule="auto" w:after="0"/>
            </w:pPr>
            <w:r/>
            <w:r>
              <w:rPr>
                <w:rFonts w:ascii="Times New Roman" w:hAnsi="Times New Roman"/>
                <w:b w:val="0"/>
                <w:color w:val="37352F"/>
                <w:sz w:val="20"/>
              </w:rPr>
              <w:t>648</w:t>
            </w:r>
          </w:p>
        </w:tc>
        <w:tc>
          <w:tcPr>
            <w:tcW w:type="dxa" w:w="1020"/>
            <w:vAlign w:val="center"/>
          </w:tcPr>
          <w:p>
            <w:pPr>
              <w:spacing w:line="276" w:lineRule="auto" w:after="0"/>
            </w:pPr>
            <w:r/>
            <w:r>
              <w:rPr>
                <w:rFonts w:ascii="Times New Roman" w:hAnsi="Times New Roman"/>
                <w:b w:val="0"/>
                <w:color w:val="37352F"/>
                <w:sz w:val="20"/>
              </w:rPr>
              <w:t>10</w:t>
            </w:r>
          </w:p>
        </w:tc>
        <w:tc>
          <w:tcPr>
            <w:tcW w:type="dxa" w:w="1020"/>
            <w:vAlign w:val="center"/>
          </w:tcPr>
          <w:p>
            <w:pPr>
              <w:spacing w:line="276" w:lineRule="auto" w:after="0"/>
            </w:pPr>
            <w:r/>
            <w:r>
              <w:rPr>
                <w:rFonts w:ascii="Times New Roman" w:hAnsi="Times New Roman"/>
                <w:b w:val="0"/>
                <w:color w:val="37352F"/>
                <w:sz w:val="20"/>
              </w:rPr>
              <w:t>30</w:t>
            </w:r>
          </w:p>
        </w:tc>
        <w:tc>
          <w:tcPr>
            <w:tcW w:type="dxa" w:w="1247"/>
            <w:vAlign w:val="center"/>
          </w:tcPr>
          <w:p>
            <w:pPr>
              <w:spacing w:line="276" w:lineRule="auto" w:after="0"/>
            </w:pPr>
            <w:r/>
            <w:r>
              <w:rPr>
                <w:rFonts w:ascii="Times New Roman" w:hAnsi="Times New Roman"/>
                <w:b w:val="0"/>
                <w:color w:val="37352F"/>
                <w:sz w:val="20"/>
              </w:rPr>
              <w:t>0.002221</w:t>
            </w:r>
          </w:p>
        </w:tc>
        <w:tc>
          <w:tcPr>
            <w:tcW w:type="dxa" w:w="1134"/>
            <w:vAlign w:val="center"/>
          </w:tcPr>
          <w:p>
            <w:pPr>
              <w:spacing w:line="276" w:lineRule="auto" w:after="0"/>
            </w:pPr>
            <w:r/>
            <w:r>
              <w:rPr>
                <w:rFonts w:ascii="Times New Roman" w:hAnsi="Times New Roman"/>
                <w:b w:val="0"/>
                <w:color w:val="37352F"/>
                <w:sz w:val="20"/>
              </w:rPr>
              <w:t>** (p &lt; 0.01)</w:t>
            </w:r>
          </w:p>
        </w:tc>
      </w:tr>
      <w:tr>
        <w:tc>
          <w:tcPr>
            <w:tcW w:type="dxa" w:w="2268"/>
            <w:vAlign w:val="center"/>
            <w:shd w:val="clear" w:color="auto" w:fill="F7F7F5"/>
          </w:tcPr>
          <w:p>
            <w:pPr>
              <w:spacing w:line="276" w:lineRule="auto" w:after="0"/>
            </w:pPr>
            <w:r/>
            <w:r>
              <w:rPr>
                <w:rFonts w:ascii="Times New Roman" w:hAnsi="Times New Roman"/>
                <w:b w:val="0"/>
                <w:color w:val="37352F"/>
                <w:sz w:val="20"/>
              </w:rPr>
              <w:t>Phi-3-Vision-4.2B</w:t>
            </w:r>
          </w:p>
        </w:tc>
        <w:tc>
          <w:tcPr>
            <w:tcW w:type="dxa" w:w="680"/>
            <w:vAlign w:val="center"/>
            <w:shd w:val="clear" w:color="auto" w:fill="F7F7F5"/>
          </w:tcPr>
          <w:p>
            <w:pPr>
              <w:spacing w:line="276" w:lineRule="auto" w:after="0"/>
            </w:pPr>
            <w:r/>
            <w:r>
              <w:rPr>
                <w:rFonts w:ascii="Times New Roman" w:hAnsi="Times New Roman"/>
                <w:b w:val="0"/>
                <w:color w:val="37352F"/>
                <w:sz w:val="20"/>
              </w:rPr>
              <w:t>842</w:t>
            </w:r>
          </w:p>
        </w:tc>
        <w:tc>
          <w:tcPr>
            <w:tcW w:type="dxa" w:w="850"/>
            <w:vAlign w:val="center"/>
            <w:shd w:val="clear" w:color="auto" w:fill="F7F7F5"/>
          </w:tcPr>
          <w:p>
            <w:pPr>
              <w:spacing w:line="276" w:lineRule="auto" w:after="0"/>
            </w:pPr>
            <w:r/>
            <w:r>
              <w:rPr>
                <w:rFonts w:ascii="Times New Roman" w:hAnsi="Times New Roman"/>
                <w:b w:val="0"/>
                <w:color w:val="37352F"/>
                <w:sz w:val="20"/>
              </w:rPr>
              <w:t>644</w:t>
            </w:r>
          </w:p>
        </w:tc>
        <w:tc>
          <w:tcPr>
            <w:tcW w:type="dxa" w:w="680"/>
            <w:vAlign w:val="center"/>
            <w:shd w:val="clear" w:color="auto" w:fill="F7F7F5"/>
          </w:tcPr>
          <w:p>
            <w:pPr>
              <w:spacing w:line="276" w:lineRule="auto" w:after="0"/>
            </w:pPr>
            <w:r/>
            <w:r>
              <w:rPr>
                <w:rFonts w:ascii="Times New Roman" w:hAnsi="Times New Roman"/>
                <w:b w:val="0"/>
                <w:color w:val="37352F"/>
                <w:sz w:val="20"/>
              </w:rPr>
              <w:t>645</w:t>
            </w:r>
          </w:p>
        </w:tc>
        <w:tc>
          <w:tcPr>
            <w:tcW w:type="dxa" w:w="1020"/>
            <w:vAlign w:val="center"/>
            <w:shd w:val="clear" w:color="auto" w:fill="F7F7F5"/>
          </w:tcPr>
          <w:p>
            <w:pPr>
              <w:spacing w:line="276" w:lineRule="auto" w:after="0"/>
            </w:pPr>
            <w:r/>
            <w:r>
              <w:rPr>
                <w:rFonts w:ascii="Times New Roman" w:hAnsi="Times New Roman"/>
                <w:b w:val="0"/>
                <w:color w:val="37352F"/>
                <w:sz w:val="20"/>
              </w:rPr>
              <w:t>13</w:t>
            </w:r>
          </w:p>
        </w:tc>
        <w:tc>
          <w:tcPr>
            <w:tcW w:type="dxa" w:w="1020"/>
            <w:vAlign w:val="center"/>
            <w:shd w:val="clear" w:color="auto" w:fill="F7F7F5"/>
          </w:tcPr>
          <w:p>
            <w:pPr>
              <w:spacing w:line="276" w:lineRule="auto" w:after="0"/>
            </w:pPr>
            <w:r/>
            <w:r>
              <w:rPr>
                <w:rFonts w:ascii="Times New Roman" w:hAnsi="Times New Roman"/>
                <w:b w:val="0"/>
                <w:color w:val="37352F"/>
                <w:sz w:val="20"/>
              </w:rPr>
              <w:t>12</w:t>
            </w:r>
          </w:p>
        </w:tc>
        <w:tc>
          <w:tcPr>
            <w:tcW w:type="dxa" w:w="1247"/>
            <w:vAlign w:val="center"/>
            <w:shd w:val="clear" w:color="auto" w:fill="F7F7F5"/>
          </w:tcPr>
          <w:p>
            <w:pPr>
              <w:spacing w:line="276" w:lineRule="auto" w:after="0"/>
            </w:pPr>
            <w:r/>
            <w:r>
              <w:rPr>
                <w:rFonts w:ascii="Times New Roman" w:hAnsi="Times New Roman"/>
                <w:b w:val="0"/>
                <w:color w:val="37352F"/>
                <w:sz w:val="20"/>
              </w:rPr>
              <w:t>1.000000</w:t>
            </w:r>
          </w:p>
        </w:tc>
        <w:tc>
          <w:tcPr>
            <w:tcW w:type="dxa" w:w="1134"/>
            <w:vAlign w:val="center"/>
            <w:shd w:val="clear" w:color="auto" w:fill="F7F7F5"/>
          </w:tcPr>
          <w:p>
            <w:pPr>
              <w:spacing w:line="276" w:lineRule="auto" w:after="0"/>
            </w:pPr>
            <w:r/>
            <w:r>
              <w:rPr>
                <w:rFonts w:ascii="Times New Roman" w:hAnsi="Times New Roman"/>
                <w:b w:val="0"/>
                <w:color w:val="37352F"/>
                <w:sz w:val="20"/>
              </w:rPr>
              <w:t>ns</w:t>
            </w:r>
          </w:p>
        </w:tc>
      </w:tr>
      <w:tr>
        <w:tc>
          <w:tcPr>
            <w:tcW w:type="dxa" w:w="2268"/>
            <w:vAlign w:val="center"/>
          </w:tcPr>
          <w:p>
            <w:pPr>
              <w:spacing w:line="276" w:lineRule="auto" w:after="0"/>
            </w:pPr>
            <w:r/>
            <w:r>
              <w:rPr>
                <w:rFonts w:ascii="Times New Roman" w:hAnsi="Times New Roman"/>
                <w:b w:val="0"/>
                <w:color w:val="37352F"/>
                <w:sz w:val="20"/>
              </w:rPr>
              <w:t>SmolVLM2-2.2B</w:t>
            </w:r>
          </w:p>
        </w:tc>
        <w:tc>
          <w:tcPr>
            <w:tcW w:type="dxa" w:w="680"/>
            <w:vAlign w:val="center"/>
          </w:tcPr>
          <w:p>
            <w:pPr>
              <w:spacing w:line="276" w:lineRule="auto" w:after="0"/>
            </w:pPr>
            <w:r/>
            <w:r>
              <w:rPr>
                <w:rFonts w:ascii="Times New Roman" w:hAnsi="Times New Roman"/>
                <w:b w:val="0"/>
                <w:color w:val="37352F"/>
                <w:sz w:val="20"/>
              </w:rPr>
              <w:t>842</w:t>
            </w:r>
          </w:p>
        </w:tc>
        <w:tc>
          <w:tcPr>
            <w:tcW w:type="dxa" w:w="850"/>
            <w:vAlign w:val="center"/>
          </w:tcPr>
          <w:p>
            <w:pPr>
              <w:spacing w:line="276" w:lineRule="auto" w:after="0"/>
            </w:pPr>
            <w:r/>
            <w:r>
              <w:rPr>
                <w:rFonts w:ascii="Times New Roman" w:hAnsi="Times New Roman"/>
                <w:b w:val="0"/>
                <w:color w:val="37352F"/>
                <w:sz w:val="20"/>
              </w:rPr>
              <w:t>543</w:t>
            </w:r>
          </w:p>
        </w:tc>
        <w:tc>
          <w:tcPr>
            <w:tcW w:type="dxa" w:w="680"/>
            <w:vAlign w:val="center"/>
          </w:tcPr>
          <w:p>
            <w:pPr>
              <w:spacing w:line="276" w:lineRule="auto" w:after="0"/>
            </w:pPr>
            <w:r/>
            <w:r>
              <w:rPr>
                <w:rFonts w:ascii="Times New Roman" w:hAnsi="Times New Roman"/>
                <w:b w:val="0"/>
                <w:color w:val="37352F"/>
                <w:sz w:val="20"/>
              </w:rPr>
              <w:t>543</w:t>
            </w:r>
          </w:p>
        </w:tc>
        <w:tc>
          <w:tcPr>
            <w:tcW w:type="dxa" w:w="1020"/>
            <w:vAlign w:val="center"/>
          </w:tcPr>
          <w:p>
            <w:pPr>
              <w:spacing w:line="276" w:lineRule="auto" w:after="0"/>
            </w:pPr>
            <w:r/>
            <w:r>
              <w:rPr>
                <w:rFonts w:ascii="Times New Roman" w:hAnsi="Times New Roman"/>
                <w:b w:val="0"/>
                <w:color w:val="37352F"/>
                <w:sz w:val="20"/>
              </w:rPr>
              <w:t>8</w:t>
            </w:r>
          </w:p>
        </w:tc>
        <w:tc>
          <w:tcPr>
            <w:tcW w:type="dxa" w:w="1020"/>
            <w:vAlign w:val="center"/>
          </w:tcPr>
          <w:p>
            <w:pPr>
              <w:spacing w:line="276" w:lineRule="auto" w:after="0"/>
            </w:pPr>
            <w:r/>
            <w:r>
              <w:rPr>
                <w:rFonts w:ascii="Times New Roman" w:hAnsi="Times New Roman"/>
                <w:b w:val="0"/>
                <w:color w:val="37352F"/>
                <w:sz w:val="20"/>
              </w:rPr>
              <w:t>8</w:t>
            </w:r>
          </w:p>
        </w:tc>
        <w:tc>
          <w:tcPr>
            <w:tcW w:type="dxa" w:w="1247"/>
            <w:vAlign w:val="center"/>
          </w:tcPr>
          <w:p>
            <w:pPr>
              <w:spacing w:line="276" w:lineRule="auto" w:after="0"/>
            </w:pPr>
            <w:r/>
            <w:r>
              <w:rPr>
                <w:rFonts w:ascii="Times New Roman" w:hAnsi="Times New Roman"/>
                <w:b w:val="0"/>
                <w:color w:val="37352F"/>
                <w:sz w:val="20"/>
              </w:rPr>
              <w:t>1.000000</w:t>
            </w:r>
          </w:p>
        </w:tc>
        <w:tc>
          <w:tcPr>
            <w:tcW w:type="dxa" w:w="1134"/>
            <w:vAlign w:val="center"/>
          </w:tcPr>
          <w:p>
            <w:pPr>
              <w:spacing w:line="276" w:lineRule="auto" w:after="0"/>
            </w:pPr>
            <w:r/>
            <w:r>
              <w:rPr>
                <w:rFonts w:ascii="Times New Roman" w:hAnsi="Times New Roman"/>
                <w:b w:val="0"/>
                <w:color w:val="37352F"/>
                <w:sz w:val="20"/>
              </w:rPr>
              <w:t>ns</w:t>
            </w:r>
          </w:p>
        </w:tc>
      </w:tr>
      <w:tr>
        <w:tc>
          <w:tcPr>
            <w:tcW w:type="dxa" w:w="2268"/>
            <w:vAlign w:val="center"/>
            <w:shd w:val="clear" w:color="auto" w:fill="F7F7F5"/>
          </w:tcPr>
          <w:p>
            <w:pPr>
              <w:spacing w:line="276" w:lineRule="auto" w:after="0"/>
            </w:pPr>
            <w:r/>
            <w:r>
              <w:rPr>
                <w:rFonts w:ascii="Times New Roman" w:hAnsi="Times New Roman"/>
                <w:b w:val="0"/>
                <w:color w:val="37352F"/>
                <w:sz w:val="20"/>
              </w:rPr>
              <w:t>Qwen2.5-VL-7B</w:t>
            </w:r>
          </w:p>
        </w:tc>
        <w:tc>
          <w:tcPr>
            <w:tcW w:type="dxa" w:w="680"/>
            <w:vAlign w:val="center"/>
            <w:shd w:val="clear" w:color="auto" w:fill="F7F7F5"/>
          </w:tcPr>
          <w:p>
            <w:pPr>
              <w:spacing w:line="276" w:lineRule="auto" w:after="0"/>
            </w:pPr>
            <w:r/>
            <w:r>
              <w:rPr>
                <w:rFonts w:ascii="Times New Roman" w:hAnsi="Times New Roman"/>
                <w:b w:val="0"/>
                <w:color w:val="37352F"/>
                <w:sz w:val="20"/>
              </w:rPr>
              <w:t>842</w:t>
            </w:r>
          </w:p>
        </w:tc>
        <w:tc>
          <w:tcPr>
            <w:tcW w:type="dxa" w:w="850"/>
            <w:vAlign w:val="center"/>
            <w:shd w:val="clear" w:color="auto" w:fill="F7F7F5"/>
          </w:tcPr>
          <w:p>
            <w:pPr>
              <w:spacing w:line="276" w:lineRule="auto" w:after="0"/>
            </w:pPr>
            <w:r/>
            <w:r>
              <w:rPr>
                <w:rFonts w:ascii="Times New Roman" w:hAnsi="Times New Roman"/>
                <w:b w:val="0"/>
                <w:color w:val="37352F"/>
                <w:sz w:val="20"/>
              </w:rPr>
              <w:t>661</w:t>
            </w:r>
          </w:p>
        </w:tc>
        <w:tc>
          <w:tcPr>
            <w:tcW w:type="dxa" w:w="680"/>
            <w:vAlign w:val="center"/>
            <w:shd w:val="clear" w:color="auto" w:fill="F7F7F5"/>
          </w:tcPr>
          <w:p>
            <w:pPr>
              <w:spacing w:line="276" w:lineRule="auto" w:after="0"/>
            </w:pPr>
            <w:r/>
            <w:r>
              <w:rPr>
                <w:rFonts w:ascii="Times New Roman" w:hAnsi="Times New Roman"/>
                <w:b w:val="0"/>
                <w:color w:val="37352F"/>
                <w:sz w:val="20"/>
              </w:rPr>
              <w:t>669</w:t>
            </w:r>
          </w:p>
        </w:tc>
        <w:tc>
          <w:tcPr>
            <w:tcW w:type="dxa" w:w="1020"/>
            <w:vAlign w:val="center"/>
            <w:shd w:val="clear" w:color="auto" w:fill="F7F7F5"/>
          </w:tcPr>
          <w:p>
            <w:pPr>
              <w:spacing w:line="276" w:lineRule="auto" w:after="0"/>
            </w:pPr>
            <w:r/>
            <w:r>
              <w:rPr>
                <w:rFonts w:ascii="Times New Roman" w:hAnsi="Times New Roman"/>
                <w:b w:val="0"/>
                <w:color w:val="37352F"/>
                <w:sz w:val="20"/>
              </w:rPr>
              <w:t>22</w:t>
            </w:r>
          </w:p>
        </w:tc>
        <w:tc>
          <w:tcPr>
            <w:tcW w:type="dxa" w:w="1020"/>
            <w:vAlign w:val="center"/>
            <w:shd w:val="clear" w:color="auto" w:fill="F7F7F5"/>
          </w:tcPr>
          <w:p>
            <w:pPr>
              <w:spacing w:line="276" w:lineRule="auto" w:after="0"/>
            </w:pPr>
            <w:r/>
            <w:r>
              <w:rPr>
                <w:rFonts w:ascii="Times New Roman" w:hAnsi="Times New Roman"/>
                <w:b w:val="0"/>
                <w:color w:val="37352F"/>
                <w:sz w:val="20"/>
              </w:rPr>
              <w:t>14</w:t>
            </w:r>
          </w:p>
        </w:tc>
        <w:tc>
          <w:tcPr>
            <w:tcW w:type="dxa" w:w="1247"/>
            <w:vAlign w:val="center"/>
            <w:shd w:val="clear" w:color="auto" w:fill="F7F7F5"/>
          </w:tcPr>
          <w:p>
            <w:pPr>
              <w:spacing w:line="276" w:lineRule="auto" w:after="0"/>
            </w:pPr>
            <w:r/>
            <w:r>
              <w:rPr>
                <w:rFonts w:ascii="Times New Roman" w:hAnsi="Times New Roman"/>
                <w:b w:val="0"/>
                <w:color w:val="37352F"/>
                <w:sz w:val="20"/>
              </w:rPr>
              <w:t>0.242985</w:t>
            </w:r>
          </w:p>
        </w:tc>
        <w:tc>
          <w:tcPr>
            <w:tcW w:type="dxa" w:w="1134"/>
            <w:vAlign w:val="center"/>
            <w:shd w:val="clear" w:color="auto" w:fill="F7F7F5"/>
          </w:tcPr>
          <w:p>
            <w:pPr>
              <w:spacing w:line="276" w:lineRule="auto" w:after="0"/>
            </w:pPr>
            <w:r/>
            <w:r>
              <w:rPr>
                <w:rFonts w:ascii="Times New Roman" w:hAnsi="Times New Roman"/>
                <w:b w:val="0"/>
                <w:color w:val="37352F"/>
                <w:sz w:val="20"/>
              </w:rPr>
              <w:t>ns</w:t>
            </w:r>
          </w:p>
        </w:tc>
      </w:tr>
      <w:tr>
        <w:tc>
          <w:tcPr>
            <w:tcW w:type="dxa" w:w="2268"/>
            <w:vAlign w:val="center"/>
          </w:tcPr>
          <w:p>
            <w:pPr>
              <w:spacing w:line="276" w:lineRule="auto" w:after="0"/>
            </w:pPr>
            <w:r/>
            <w:r>
              <w:rPr>
                <w:rFonts w:ascii="Times New Roman" w:hAnsi="Times New Roman"/>
                <w:b w:val="0"/>
                <w:color w:val="37352F"/>
                <w:sz w:val="20"/>
              </w:rPr>
              <w:t>Idefics2-8B</w:t>
            </w:r>
          </w:p>
        </w:tc>
        <w:tc>
          <w:tcPr>
            <w:tcW w:type="dxa" w:w="680"/>
            <w:vAlign w:val="center"/>
          </w:tcPr>
          <w:p>
            <w:pPr>
              <w:spacing w:line="276" w:lineRule="auto" w:after="0"/>
            </w:pPr>
            <w:r/>
            <w:r>
              <w:rPr>
                <w:rFonts w:ascii="Times New Roman" w:hAnsi="Times New Roman"/>
                <w:b w:val="0"/>
                <w:color w:val="37352F"/>
                <w:sz w:val="20"/>
              </w:rPr>
              <w:t>842</w:t>
            </w:r>
          </w:p>
        </w:tc>
        <w:tc>
          <w:tcPr>
            <w:tcW w:type="dxa" w:w="850"/>
            <w:vAlign w:val="center"/>
          </w:tcPr>
          <w:p>
            <w:pPr>
              <w:spacing w:line="276" w:lineRule="auto" w:after="0"/>
            </w:pPr>
            <w:r/>
            <w:r>
              <w:rPr>
                <w:rFonts w:ascii="Times New Roman" w:hAnsi="Times New Roman"/>
                <w:b w:val="0"/>
                <w:color w:val="37352F"/>
                <w:sz w:val="20"/>
              </w:rPr>
              <w:t>686</w:t>
            </w:r>
          </w:p>
        </w:tc>
        <w:tc>
          <w:tcPr>
            <w:tcW w:type="dxa" w:w="680"/>
            <w:vAlign w:val="center"/>
          </w:tcPr>
          <w:p>
            <w:pPr>
              <w:spacing w:line="276" w:lineRule="auto" w:after="0"/>
            </w:pPr>
            <w:r/>
            <w:r>
              <w:rPr>
                <w:rFonts w:ascii="Times New Roman" w:hAnsi="Times New Roman"/>
                <w:b w:val="0"/>
                <w:color w:val="37352F"/>
                <w:sz w:val="20"/>
              </w:rPr>
              <w:t>680</w:t>
            </w:r>
          </w:p>
        </w:tc>
        <w:tc>
          <w:tcPr>
            <w:tcW w:type="dxa" w:w="1020"/>
            <w:vAlign w:val="center"/>
          </w:tcPr>
          <w:p>
            <w:pPr>
              <w:spacing w:line="276" w:lineRule="auto" w:after="0"/>
            </w:pPr>
            <w:r/>
            <w:r>
              <w:rPr>
                <w:rFonts w:ascii="Times New Roman" w:hAnsi="Times New Roman"/>
                <w:b w:val="0"/>
                <w:color w:val="37352F"/>
                <w:sz w:val="20"/>
              </w:rPr>
              <w:t>1</w:t>
            </w:r>
          </w:p>
        </w:tc>
        <w:tc>
          <w:tcPr>
            <w:tcW w:type="dxa" w:w="1020"/>
            <w:vAlign w:val="center"/>
          </w:tcPr>
          <w:p>
            <w:pPr>
              <w:spacing w:line="276" w:lineRule="auto" w:after="0"/>
            </w:pPr>
            <w:r/>
            <w:r>
              <w:rPr>
                <w:rFonts w:ascii="Times New Roman" w:hAnsi="Times New Roman"/>
                <w:b w:val="0"/>
                <w:color w:val="37352F"/>
                <w:sz w:val="20"/>
              </w:rPr>
              <w:t>7</w:t>
            </w:r>
          </w:p>
        </w:tc>
        <w:tc>
          <w:tcPr>
            <w:tcW w:type="dxa" w:w="1247"/>
            <w:vAlign w:val="center"/>
          </w:tcPr>
          <w:p>
            <w:pPr>
              <w:spacing w:line="276" w:lineRule="auto" w:after="0"/>
            </w:pPr>
            <w:r/>
            <w:r>
              <w:rPr>
                <w:rFonts w:ascii="Times New Roman" w:hAnsi="Times New Roman"/>
                <w:b w:val="0"/>
                <w:color w:val="37352F"/>
                <w:sz w:val="20"/>
              </w:rPr>
              <w:t>0.070312</w:t>
            </w:r>
          </w:p>
        </w:tc>
        <w:tc>
          <w:tcPr>
            <w:tcW w:type="dxa" w:w="1134"/>
            <w:vAlign w:val="center"/>
          </w:tcPr>
          <w:p>
            <w:pPr>
              <w:spacing w:line="276" w:lineRule="auto" w:after="0"/>
            </w:pPr>
            <w:r/>
            <w:r>
              <w:rPr>
                <w:rFonts w:ascii="Times New Roman" w:hAnsi="Times New Roman"/>
                <w:b w:val="0"/>
                <w:color w:val="37352F"/>
                <w:sz w:val="20"/>
              </w:rPr>
              <w:t>ns</w:t>
            </w:r>
          </w:p>
        </w:tc>
      </w:tr>
      <w:tr>
        <w:tc>
          <w:tcPr>
            <w:tcW w:type="dxa" w:w="2268"/>
            <w:vAlign w:val="center"/>
            <w:shd w:val="clear" w:color="auto" w:fill="F7F7F5"/>
          </w:tcPr>
          <w:p>
            <w:pPr>
              <w:spacing w:line="276" w:lineRule="auto" w:after="0"/>
            </w:pPr>
            <w:r/>
            <w:r>
              <w:rPr>
                <w:rFonts w:ascii="Times New Roman" w:hAnsi="Times New Roman"/>
                <w:b w:val="0"/>
                <w:color w:val="37352F"/>
                <w:sz w:val="20"/>
              </w:rPr>
              <w:t>LLaVA-1.5-7B</w:t>
            </w:r>
          </w:p>
        </w:tc>
        <w:tc>
          <w:tcPr>
            <w:tcW w:type="dxa" w:w="680"/>
            <w:vAlign w:val="center"/>
            <w:shd w:val="clear" w:color="auto" w:fill="F7F7F5"/>
          </w:tcPr>
          <w:p>
            <w:pPr>
              <w:spacing w:line="276" w:lineRule="auto" w:after="0"/>
            </w:pPr>
            <w:r/>
            <w:r>
              <w:rPr>
                <w:rFonts w:ascii="Times New Roman" w:hAnsi="Times New Roman"/>
                <w:b w:val="0"/>
                <w:color w:val="37352F"/>
                <w:sz w:val="20"/>
              </w:rPr>
              <w:t>842</w:t>
            </w:r>
          </w:p>
        </w:tc>
        <w:tc>
          <w:tcPr>
            <w:tcW w:type="dxa" w:w="850"/>
            <w:vAlign w:val="center"/>
            <w:shd w:val="clear" w:color="auto" w:fill="F7F7F5"/>
          </w:tcPr>
          <w:p>
            <w:pPr>
              <w:spacing w:line="276" w:lineRule="auto" w:after="0"/>
            </w:pPr>
            <w:r/>
            <w:r>
              <w:rPr>
                <w:rFonts w:ascii="Times New Roman" w:hAnsi="Times New Roman"/>
                <w:b w:val="0"/>
                <w:color w:val="37352F"/>
                <w:sz w:val="20"/>
              </w:rPr>
              <w:t>623</w:t>
            </w:r>
          </w:p>
        </w:tc>
        <w:tc>
          <w:tcPr>
            <w:tcW w:type="dxa" w:w="680"/>
            <w:vAlign w:val="center"/>
            <w:shd w:val="clear" w:color="auto" w:fill="F7F7F5"/>
          </w:tcPr>
          <w:p>
            <w:pPr>
              <w:spacing w:line="276" w:lineRule="auto" w:after="0"/>
            </w:pPr>
            <w:r/>
            <w:r>
              <w:rPr>
                <w:rFonts w:ascii="Times New Roman" w:hAnsi="Times New Roman"/>
                <w:b w:val="0"/>
                <w:color w:val="37352F"/>
                <w:sz w:val="20"/>
              </w:rPr>
              <w:t>511</w:t>
            </w:r>
          </w:p>
        </w:tc>
        <w:tc>
          <w:tcPr>
            <w:tcW w:type="dxa" w:w="1020"/>
            <w:vAlign w:val="center"/>
            <w:shd w:val="clear" w:color="auto" w:fill="F7F7F5"/>
          </w:tcPr>
          <w:p>
            <w:pPr>
              <w:spacing w:line="276" w:lineRule="auto" w:after="0"/>
            </w:pPr>
            <w:r/>
            <w:r>
              <w:rPr>
                <w:rFonts w:ascii="Times New Roman" w:hAnsi="Times New Roman"/>
                <w:b w:val="0"/>
                <w:color w:val="37352F"/>
                <w:sz w:val="20"/>
              </w:rPr>
              <w:t>48</w:t>
            </w:r>
          </w:p>
        </w:tc>
        <w:tc>
          <w:tcPr>
            <w:tcW w:type="dxa" w:w="1020"/>
            <w:vAlign w:val="center"/>
            <w:shd w:val="clear" w:color="auto" w:fill="F7F7F5"/>
          </w:tcPr>
          <w:p>
            <w:pPr>
              <w:spacing w:line="276" w:lineRule="auto" w:after="0"/>
            </w:pPr>
            <w:r/>
            <w:r>
              <w:rPr>
                <w:rFonts w:ascii="Times New Roman" w:hAnsi="Times New Roman"/>
                <w:b w:val="0"/>
                <w:color w:val="37352F"/>
                <w:sz w:val="20"/>
              </w:rPr>
              <w:t>160</w:t>
            </w:r>
          </w:p>
        </w:tc>
        <w:tc>
          <w:tcPr>
            <w:tcW w:type="dxa" w:w="1247"/>
            <w:vAlign w:val="center"/>
            <w:shd w:val="clear" w:color="auto" w:fill="F7F7F5"/>
          </w:tcPr>
          <w:p>
            <w:pPr>
              <w:spacing w:line="276" w:lineRule="auto" w:after="0"/>
            </w:pPr>
            <w:r/>
            <w:r>
              <w:rPr>
                <w:rFonts w:ascii="Times New Roman" w:hAnsi="Times New Roman"/>
                <w:b w:val="0"/>
                <w:color w:val="37352F"/>
                <w:sz w:val="20"/>
              </w:rPr>
              <w:t>0.000000</w:t>
            </w:r>
          </w:p>
        </w:tc>
        <w:tc>
          <w:tcPr>
            <w:tcW w:type="dxa" w:w="1134"/>
            <w:vAlign w:val="center"/>
            <w:shd w:val="clear" w:color="auto" w:fill="F7F7F5"/>
          </w:tcPr>
          <w:p>
            <w:pPr>
              <w:spacing w:line="276" w:lineRule="auto" w:after="0"/>
            </w:pPr>
            <w:r/>
            <w:r>
              <w:rPr>
                <w:rFonts w:ascii="Times New Roman" w:hAnsi="Times New Roman"/>
                <w:b w:val="0"/>
                <w:color w:val="37352F"/>
                <w:sz w:val="20"/>
              </w:rPr>
              <w:t>*** (p &lt; 0.001)</w:t>
            </w:r>
          </w:p>
        </w:tc>
      </w:tr>
      <w:tr>
        <w:tc>
          <w:tcPr>
            <w:tcW w:type="dxa" w:w="2268"/>
            <w:vAlign w:val="center"/>
          </w:tcPr>
          <w:p>
            <w:pPr>
              <w:spacing w:line="276" w:lineRule="auto" w:after="0"/>
            </w:pPr>
            <w:r/>
            <w:r>
              <w:rPr>
                <w:rFonts w:ascii="Times New Roman" w:hAnsi="Times New Roman"/>
                <w:b w:val="0"/>
                <w:color w:val="37352F"/>
                <w:sz w:val="20"/>
              </w:rPr>
              <w:t>LLaVA-v1.6-Mistral-7B</w:t>
            </w:r>
          </w:p>
        </w:tc>
        <w:tc>
          <w:tcPr>
            <w:tcW w:type="dxa" w:w="680"/>
            <w:vAlign w:val="center"/>
          </w:tcPr>
          <w:p>
            <w:pPr>
              <w:spacing w:line="276" w:lineRule="auto" w:after="0"/>
            </w:pPr>
            <w:r/>
            <w:r>
              <w:rPr>
                <w:rFonts w:ascii="Times New Roman" w:hAnsi="Times New Roman"/>
                <w:b w:val="0"/>
                <w:color w:val="37352F"/>
                <w:sz w:val="20"/>
              </w:rPr>
              <w:t>842</w:t>
            </w:r>
          </w:p>
        </w:tc>
        <w:tc>
          <w:tcPr>
            <w:tcW w:type="dxa" w:w="850"/>
            <w:vAlign w:val="center"/>
          </w:tcPr>
          <w:p>
            <w:pPr>
              <w:spacing w:line="276" w:lineRule="auto" w:after="0"/>
            </w:pPr>
            <w:r/>
            <w:r>
              <w:rPr>
                <w:rFonts w:ascii="Times New Roman" w:hAnsi="Times New Roman"/>
                <w:b w:val="0"/>
                <w:color w:val="37352F"/>
                <w:sz w:val="20"/>
              </w:rPr>
              <w:t>712</w:t>
            </w:r>
          </w:p>
        </w:tc>
        <w:tc>
          <w:tcPr>
            <w:tcW w:type="dxa" w:w="680"/>
            <w:vAlign w:val="center"/>
          </w:tcPr>
          <w:p>
            <w:pPr>
              <w:spacing w:line="276" w:lineRule="auto" w:after="0"/>
            </w:pPr>
            <w:r/>
            <w:r>
              <w:rPr>
                <w:rFonts w:ascii="Times New Roman" w:hAnsi="Times New Roman"/>
                <w:b w:val="0"/>
                <w:color w:val="37352F"/>
                <w:sz w:val="20"/>
              </w:rPr>
              <w:t>618</w:t>
            </w:r>
          </w:p>
        </w:tc>
        <w:tc>
          <w:tcPr>
            <w:tcW w:type="dxa" w:w="1020"/>
            <w:vAlign w:val="center"/>
          </w:tcPr>
          <w:p>
            <w:pPr>
              <w:spacing w:line="276" w:lineRule="auto" w:after="0"/>
            </w:pPr>
            <w:r/>
            <w:r>
              <w:rPr>
                <w:rFonts w:ascii="Times New Roman" w:hAnsi="Times New Roman"/>
                <w:b w:val="0"/>
                <w:color w:val="37352F"/>
                <w:sz w:val="20"/>
              </w:rPr>
              <w:t>29</w:t>
            </w:r>
          </w:p>
        </w:tc>
        <w:tc>
          <w:tcPr>
            <w:tcW w:type="dxa" w:w="1020"/>
            <w:vAlign w:val="center"/>
          </w:tcPr>
          <w:p>
            <w:pPr>
              <w:spacing w:line="276" w:lineRule="auto" w:after="0"/>
            </w:pPr>
            <w:r/>
            <w:r>
              <w:rPr>
                <w:rFonts w:ascii="Times New Roman" w:hAnsi="Times New Roman"/>
                <w:b w:val="0"/>
                <w:color w:val="37352F"/>
                <w:sz w:val="20"/>
              </w:rPr>
              <w:t>123</w:t>
            </w:r>
          </w:p>
        </w:tc>
        <w:tc>
          <w:tcPr>
            <w:tcW w:type="dxa" w:w="1247"/>
            <w:vAlign w:val="center"/>
          </w:tcPr>
          <w:p>
            <w:pPr>
              <w:spacing w:line="276" w:lineRule="auto" w:after="0"/>
            </w:pPr>
            <w:r/>
            <w:r>
              <w:rPr>
                <w:rFonts w:ascii="Times New Roman" w:hAnsi="Times New Roman"/>
                <w:b w:val="0"/>
                <w:color w:val="37352F"/>
                <w:sz w:val="20"/>
              </w:rPr>
              <w:t>0.000000</w:t>
            </w:r>
          </w:p>
        </w:tc>
        <w:tc>
          <w:tcPr>
            <w:tcW w:type="dxa" w:w="1134"/>
            <w:vAlign w:val="center"/>
          </w:tcPr>
          <w:p>
            <w:pPr>
              <w:spacing w:line="276" w:lineRule="auto" w:after="0"/>
            </w:pPr>
            <w:r/>
            <w:r>
              <w:rPr>
                <w:rFonts w:ascii="Times New Roman" w:hAnsi="Times New Roman"/>
                <w:b w:val="0"/>
                <w:color w:val="37352F"/>
                <w:sz w:val="20"/>
              </w:rPr>
              <w:t>*** (p &lt; 0.001)</w:t>
            </w:r>
          </w:p>
        </w:tc>
      </w:tr>
    </w:tbl>
    <w:p>
      <w:pPr>
        <w:spacing w:line="312" w:lineRule="auto" w:after="80"/>
        <w:ind w:firstLine="482"/>
        <w:jc w:val="both"/>
      </w:pPr>
      <w:r>
        <w:rPr>
          <w:rFonts w:ascii="Times New Roman" w:hAnsi="Times New Roman"/>
          <w:color w:val="37352F"/>
          <w:sz w:val="24"/>
        </w:rPr>
      </w:r>
    </w:p>
    <w:p>
      <w:pPr>
        <w:spacing w:line="312" w:lineRule="auto" w:after="80"/>
        <w:ind w:firstLine="482"/>
        <w:jc w:val="both"/>
      </w:pPr>
      <w:r>
        <w:rPr>
          <w:rFonts w:ascii="Times New Roman" w:hAnsi="Times New Roman"/>
          <w:color w:val="37352F"/>
          <w:sz w:val="24"/>
        </w:rPr>
        <w:t>Replace the significance paragraph in Section 5.1 (immediately after Table 1) with the following: "On Qwen2-VL-2B, EGCD adds 9.74 points over greedy decoding and 3.14 over universal CD+APC. That 3.14 gap is the only improvement over CD that holds up under an exact paired McNemar test (p = 0.002, 30 discordant pairs favouring EGCD versus 10 favouring CD). On Phi-3-Vision-4.2B, SmolVLM2-2.2B, Qwen2.5-VL-7B, and Idefics2-8B, the gap to CD sits inside sampling noise (p = 1.00, 1.00, 0.24, 0.07 respectively). On the two LLaVA models, EGCD significantly outperforms universal CD because the gate stays idle where universal CD catastrophically fails (LLaVA-1.5: p &lt; 0.001, 160 discordant pairs favouring EGCD; LLaVA-v1.6: p &lt; 0.001, 123 discordant pairs favouring EGCD)."</w:t>
      </w:r>
    </w:p>
    <w:p>
      <w:pPr>
        <w:keepNext/>
        <w:spacing w:before="360" w:after="120"/>
      </w:pPr>
      <w:r>
        <w:rPr>
          <w:rFonts w:ascii="Times New Roman" w:hAnsi="Times New Roman"/>
          <w:b/>
          <w:color w:val="1B2A4A"/>
          <w:sz w:val="32"/>
        </w:rPr>
        <w:t>4. Per-Model Degradation Analysis</w:t>
      </w:r>
    </w:p>
    <w:p>
      <w:pPr>
        <w:spacing w:line="312" w:lineRule="auto" w:after="80"/>
        <w:ind w:firstLine="482"/>
        <w:jc w:val="both"/>
      </w:pPr>
      <w:r>
        <w:rPr>
          <w:rFonts w:ascii="Times New Roman" w:hAnsi="Times New Roman"/>
          <w:color w:val="37352F"/>
          <w:sz w:val="24"/>
        </w:rPr>
        <w:t>The table below compares the old paper Table 1 numbers (which mixed full-dataset and held-out splits) against the new canonical-split held-out numbers. The Δ column shows the change in balanced accuracy. Most numbers moved by less than 2 percentage points; no qualitative finding flipped.</w:t>
      </w:r>
    </w:p>
    <w:tbl>
      <w:tblPr>
        <w:tblW w:type="auto" w:w="0"/>
        <w:jc w:val="center"/>
        <w:tblLook w:firstColumn="1" w:firstRow="1" w:lastColumn="0" w:lastRow="0" w:noHBand="0" w:noVBand="1" w:val="04A0"/>
      </w:tblPr>
      <w:tblGrid>
        <w:gridCol w:w="1758"/>
        <w:gridCol w:w="1758"/>
        <w:gridCol w:w="1758"/>
        <w:gridCol w:w="1758"/>
        <w:gridCol w:w="1758"/>
      </w:tblGrid>
      <w:tr>
        <w:tc>
          <w:tcPr>
            <w:tcW w:type="dxa" w:w="2551"/>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Model</w:t>
            </w:r>
          </w:p>
        </w:tc>
        <w:tc>
          <w:tcPr>
            <w:tcW w:type="dxa" w:w="1247"/>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Regime</w:t>
            </w:r>
          </w:p>
        </w:tc>
        <w:tc>
          <w:tcPr>
            <w:tcW w:type="dxa" w:w="1417"/>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OLD BalAcc</w:t>
            </w:r>
          </w:p>
        </w:tc>
        <w:tc>
          <w:tcPr>
            <w:tcW w:type="dxa" w:w="1417"/>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NEW BalAcc</w:t>
            </w:r>
          </w:p>
        </w:tc>
        <w:tc>
          <w:tcPr>
            <w:tcW w:type="dxa" w:w="1134"/>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Δ</w:t>
            </w:r>
          </w:p>
        </w:tc>
      </w:tr>
      <w:tr>
        <w:tc>
          <w:tcPr>
            <w:tcW w:type="dxa" w:w="2551"/>
            <w:vAlign w:val="center"/>
          </w:tcPr>
          <w:p>
            <w:pPr>
              <w:spacing w:line="276" w:lineRule="auto" w:after="0"/>
            </w:pPr>
            <w:r/>
            <w:r>
              <w:rPr>
                <w:rFonts w:ascii="Times New Roman" w:hAnsi="Times New Roman"/>
                <w:b w:val="0"/>
                <w:color w:val="37352F"/>
                <w:sz w:val="20"/>
              </w:rPr>
              <w:t>Qwen2-VL-2B</w:t>
            </w:r>
          </w:p>
        </w:tc>
        <w:tc>
          <w:tcPr>
            <w:tcW w:type="dxa" w:w="1247"/>
            <w:vAlign w:val="center"/>
          </w:tcPr>
          <w:p>
            <w:pPr>
              <w:spacing w:line="276" w:lineRule="auto" w:after="0"/>
            </w:pPr>
            <w:r/>
            <w:r>
              <w:rPr>
                <w:rFonts w:ascii="Times New Roman" w:hAnsi="Times New Roman"/>
                <w:b w:val="0"/>
                <w:color w:val="37352F"/>
                <w:sz w:val="20"/>
              </w:rPr>
              <w:t>Greedy</w:t>
            </w:r>
          </w:p>
        </w:tc>
        <w:tc>
          <w:tcPr>
            <w:tcW w:type="dxa" w:w="1417"/>
            <w:vAlign w:val="center"/>
          </w:tcPr>
          <w:p>
            <w:pPr>
              <w:spacing w:line="276" w:lineRule="auto" w:after="0"/>
            </w:pPr>
            <w:r/>
            <w:r>
              <w:rPr>
                <w:rFonts w:ascii="Times New Roman" w:hAnsi="Times New Roman"/>
                <w:b w:val="0"/>
                <w:color w:val="37352F"/>
                <w:sz w:val="20"/>
              </w:rPr>
              <w:t>71.50</w:t>
            </w:r>
          </w:p>
        </w:tc>
        <w:tc>
          <w:tcPr>
            <w:tcW w:type="dxa" w:w="1417"/>
            <w:vAlign w:val="center"/>
          </w:tcPr>
          <w:p>
            <w:pPr>
              <w:spacing w:line="276" w:lineRule="auto" w:after="0"/>
            </w:pPr>
            <w:r/>
            <w:r>
              <w:rPr>
                <w:rFonts w:ascii="Times New Roman" w:hAnsi="Times New Roman"/>
                <w:b w:val="0"/>
                <w:color w:val="37352F"/>
                <w:sz w:val="20"/>
              </w:rPr>
              <w:t>70.71</w:t>
            </w:r>
          </w:p>
        </w:tc>
        <w:tc>
          <w:tcPr>
            <w:tcW w:type="dxa" w:w="1134"/>
            <w:vAlign w:val="center"/>
          </w:tcPr>
          <w:p>
            <w:pPr>
              <w:spacing w:line="276" w:lineRule="auto" w:after="0"/>
            </w:pPr>
            <w:r/>
            <w:r>
              <w:rPr>
                <w:rFonts w:ascii="Times New Roman" w:hAnsi="Times New Roman"/>
                <w:b w:val="0"/>
                <w:color w:val="37352F"/>
                <w:sz w:val="20"/>
              </w:rPr>
              <w:t>-0.79</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417"/>
            <w:vAlign w:val="center"/>
            <w:shd w:val="clear" w:color="auto" w:fill="F7F7F5"/>
          </w:tcPr>
          <w:p>
            <w:pPr>
              <w:spacing w:line="276" w:lineRule="auto" w:after="0"/>
            </w:pPr>
            <w:r/>
            <w:r>
              <w:rPr>
                <w:rFonts w:ascii="Times New Roman" w:hAnsi="Times New Roman"/>
                <w:b w:val="0"/>
                <w:color w:val="37352F"/>
                <w:sz w:val="20"/>
              </w:rPr>
              <w:t>77.78</w:t>
            </w:r>
          </w:p>
        </w:tc>
        <w:tc>
          <w:tcPr>
            <w:tcW w:type="dxa" w:w="1417"/>
            <w:vAlign w:val="center"/>
            <w:shd w:val="clear" w:color="auto" w:fill="F7F7F5"/>
          </w:tcPr>
          <w:p>
            <w:pPr>
              <w:spacing w:line="276" w:lineRule="auto" w:after="0"/>
            </w:pPr>
            <w:r/>
            <w:r>
              <w:rPr>
                <w:rFonts w:ascii="Times New Roman" w:hAnsi="Times New Roman"/>
                <w:b w:val="0"/>
                <w:color w:val="37352F"/>
                <w:sz w:val="20"/>
              </w:rPr>
              <w:t>77.31</w:t>
            </w:r>
          </w:p>
        </w:tc>
        <w:tc>
          <w:tcPr>
            <w:tcW w:type="dxa" w:w="1134"/>
            <w:vAlign w:val="center"/>
            <w:shd w:val="clear" w:color="auto" w:fill="F7F7F5"/>
          </w:tcPr>
          <w:p>
            <w:pPr>
              <w:spacing w:line="276" w:lineRule="auto" w:after="0"/>
            </w:pPr>
            <w:r/>
            <w:r>
              <w:rPr>
                <w:rFonts w:ascii="Times New Roman" w:hAnsi="Times New Roman"/>
                <w:b w:val="0"/>
                <w:color w:val="37352F"/>
                <w:sz w:val="20"/>
              </w:rPr>
              <w:t>-0.47</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417"/>
            <w:vAlign w:val="center"/>
          </w:tcPr>
          <w:p>
            <w:pPr>
              <w:spacing w:line="276" w:lineRule="auto" w:after="0"/>
            </w:pPr>
            <w:r/>
            <w:r>
              <w:rPr>
                <w:rFonts w:ascii="Times New Roman" w:hAnsi="Times New Roman"/>
                <w:b w:val="0"/>
                <w:color w:val="37352F"/>
                <w:sz w:val="20"/>
              </w:rPr>
              <w:t>80.89</w:t>
            </w:r>
          </w:p>
        </w:tc>
        <w:tc>
          <w:tcPr>
            <w:tcW w:type="dxa" w:w="1417"/>
            <w:vAlign w:val="center"/>
          </w:tcPr>
          <w:p>
            <w:pPr>
              <w:spacing w:line="276" w:lineRule="auto" w:after="0"/>
            </w:pPr>
            <w:r/>
            <w:r>
              <w:rPr>
                <w:rFonts w:ascii="Times New Roman" w:hAnsi="Times New Roman"/>
                <w:b w:val="0"/>
                <w:color w:val="37352F"/>
                <w:sz w:val="20"/>
              </w:rPr>
              <w:t>80.45</w:t>
            </w:r>
          </w:p>
        </w:tc>
        <w:tc>
          <w:tcPr>
            <w:tcW w:type="dxa" w:w="1134"/>
            <w:vAlign w:val="center"/>
          </w:tcPr>
          <w:p>
            <w:pPr>
              <w:spacing w:line="276" w:lineRule="auto" w:after="0"/>
            </w:pPr>
            <w:r/>
            <w:r>
              <w:rPr>
                <w:rFonts w:ascii="Times New Roman" w:hAnsi="Times New Roman"/>
                <w:b w:val="0"/>
                <w:color w:val="37352F"/>
                <w:sz w:val="20"/>
              </w:rPr>
              <w:t>-0.44</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417"/>
            <w:vAlign w:val="center"/>
            <w:shd w:val="clear" w:color="auto" w:fill="F7F7F5"/>
          </w:tcPr>
          <w:p>
            <w:pPr>
              <w:spacing w:line="276" w:lineRule="auto" w:after="0"/>
            </w:pPr>
            <w:r/>
            <w:r>
              <w:rPr>
                <w:rFonts w:ascii="Times New Roman" w:hAnsi="Times New Roman"/>
                <w:b w:val="0"/>
                <w:color w:val="37352F"/>
                <w:sz w:val="20"/>
              </w:rPr>
              <w:t>71.50</w:t>
            </w:r>
          </w:p>
        </w:tc>
        <w:tc>
          <w:tcPr>
            <w:tcW w:type="dxa" w:w="1417"/>
            <w:vAlign w:val="center"/>
            <w:shd w:val="clear" w:color="auto" w:fill="F7F7F5"/>
          </w:tcPr>
          <w:p>
            <w:pPr>
              <w:spacing w:line="276" w:lineRule="auto" w:after="0"/>
            </w:pPr>
            <w:r/>
            <w:r>
              <w:rPr>
                <w:rFonts w:ascii="Times New Roman" w:hAnsi="Times New Roman"/>
                <w:b w:val="0"/>
                <w:color w:val="37352F"/>
                <w:sz w:val="20"/>
              </w:rPr>
              <w:t>71.16</w:t>
            </w:r>
          </w:p>
        </w:tc>
        <w:tc>
          <w:tcPr>
            <w:tcW w:type="dxa" w:w="1134"/>
            <w:vAlign w:val="center"/>
            <w:shd w:val="clear" w:color="auto" w:fill="F7F7F5"/>
          </w:tcPr>
          <w:p>
            <w:pPr>
              <w:spacing w:line="276" w:lineRule="auto" w:after="0"/>
            </w:pPr>
            <w:r/>
            <w:r>
              <w:rPr>
                <w:rFonts w:ascii="Times New Roman" w:hAnsi="Times New Roman"/>
                <w:b w:val="0"/>
                <w:color w:val="37352F"/>
                <w:sz w:val="20"/>
              </w:rPr>
              <w:t>-0.34</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417"/>
            <w:vAlign w:val="center"/>
          </w:tcPr>
          <w:p>
            <w:pPr>
              <w:spacing w:line="276" w:lineRule="auto" w:after="0"/>
            </w:pPr>
            <w:r/>
            <w:r>
              <w:rPr>
                <w:rFonts w:ascii="Times New Roman" w:hAnsi="Times New Roman"/>
                <w:b w:val="0"/>
                <w:color w:val="37352F"/>
                <w:sz w:val="20"/>
              </w:rPr>
              <w:t>71.50</w:t>
            </w:r>
          </w:p>
        </w:tc>
        <w:tc>
          <w:tcPr>
            <w:tcW w:type="dxa" w:w="1417"/>
            <w:vAlign w:val="center"/>
          </w:tcPr>
          <w:p>
            <w:pPr>
              <w:spacing w:line="276" w:lineRule="auto" w:after="0"/>
            </w:pPr>
            <w:r/>
            <w:r>
              <w:rPr>
                <w:rFonts w:ascii="Times New Roman" w:hAnsi="Times New Roman"/>
                <w:b w:val="0"/>
                <w:color w:val="37352F"/>
                <w:sz w:val="20"/>
              </w:rPr>
              <w:t>70.71</w:t>
            </w:r>
          </w:p>
        </w:tc>
        <w:tc>
          <w:tcPr>
            <w:tcW w:type="dxa" w:w="1134"/>
            <w:vAlign w:val="center"/>
          </w:tcPr>
          <w:p>
            <w:pPr>
              <w:spacing w:line="276" w:lineRule="auto" w:after="0"/>
            </w:pPr>
            <w:r/>
            <w:r>
              <w:rPr>
                <w:rFonts w:ascii="Times New Roman" w:hAnsi="Times New Roman"/>
                <w:b w:val="0"/>
                <w:color w:val="37352F"/>
                <w:sz w:val="20"/>
              </w:rPr>
              <w:t>-0.79</w:t>
            </w:r>
          </w:p>
        </w:tc>
      </w:tr>
      <w:tr>
        <w:tc>
          <w:tcPr>
            <w:tcW w:type="dxa" w:w="2551"/>
            <w:vAlign w:val="center"/>
            <w:shd w:val="clear" w:color="auto" w:fill="F7F7F5"/>
          </w:tcPr>
          <w:p>
            <w:pPr>
              <w:spacing w:line="276" w:lineRule="auto" w:after="0"/>
            </w:pPr>
            <w:r/>
            <w:r>
              <w:rPr>
                <w:rFonts w:ascii="Times New Roman" w:hAnsi="Times New Roman"/>
                <w:b w:val="0"/>
                <w:color w:val="37352F"/>
                <w:sz w:val="20"/>
              </w:rPr>
              <w:t>Phi-3-Vision-4.2B</w:t>
            </w:r>
          </w:p>
        </w:tc>
        <w:tc>
          <w:tcPr>
            <w:tcW w:type="dxa" w:w="1247"/>
            <w:vAlign w:val="center"/>
            <w:shd w:val="clear" w:color="auto" w:fill="F7F7F5"/>
          </w:tcPr>
          <w:p>
            <w:pPr>
              <w:spacing w:line="276" w:lineRule="auto" w:after="0"/>
            </w:pPr>
            <w:r/>
            <w:r>
              <w:rPr>
                <w:rFonts w:ascii="Times New Roman" w:hAnsi="Times New Roman"/>
                <w:b w:val="0"/>
                <w:color w:val="37352F"/>
                <w:sz w:val="20"/>
              </w:rPr>
              <w:t>Greedy</w:t>
            </w:r>
          </w:p>
        </w:tc>
        <w:tc>
          <w:tcPr>
            <w:tcW w:type="dxa" w:w="1417"/>
            <w:vAlign w:val="center"/>
            <w:shd w:val="clear" w:color="auto" w:fill="F7F7F5"/>
          </w:tcPr>
          <w:p>
            <w:pPr>
              <w:spacing w:line="276" w:lineRule="auto" w:after="0"/>
            </w:pPr>
            <w:r/>
            <w:r>
              <w:rPr>
                <w:rFonts w:ascii="Times New Roman" w:hAnsi="Times New Roman"/>
                <w:b w:val="0"/>
                <w:color w:val="37352F"/>
                <w:sz w:val="20"/>
              </w:rPr>
              <w:t>70.18</w:t>
            </w:r>
          </w:p>
        </w:tc>
        <w:tc>
          <w:tcPr>
            <w:tcW w:type="dxa" w:w="1417"/>
            <w:vAlign w:val="center"/>
            <w:shd w:val="clear" w:color="auto" w:fill="F7F7F5"/>
          </w:tcPr>
          <w:p>
            <w:pPr>
              <w:spacing w:line="276" w:lineRule="auto" w:after="0"/>
            </w:pPr>
            <w:r/>
            <w:r>
              <w:rPr>
                <w:rFonts w:ascii="Times New Roman" w:hAnsi="Times New Roman"/>
                <w:b w:val="0"/>
                <w:color w:val="37352F"/>
                <w:sz w:val="20"/>
              </w:rPr>
              <w:t>69.05</w:t>
            </w:r>
          </w:p>
        </w:tc>
        <w:tc>
          <w:tcPr>
            <w:tcW w:type="dxa" w:w="1134"/>
            <w:vAlign w:val="center"/>
            <w:shd w:val="clear" w:color="auto" w:fill="F7F7F5"/>
          </w:tcPr>
          <w:p>
            <w:pPr>
              <w:spacing w:line="276" w:lineRule="auto" w:after="0"/>
            </w:pPr>
            <w:r/>
            <w:r>
              <w:rPr>
                <w:rFonts w:ascii="Times New Roman" w:hAnsi="Times New Roman"/>
                <w:b w:val="0"/>
                <w:color w:val="37352F"/>
                <w:sz w:val="20"/>
              </w:rPr>
              <w:t>-1.13</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CD+APC</w:t>
            </w:r>
          </w:p>
        </w:tc>
        <w:tc>
          <w:tcPr>
            <w:tcW w:type="dxa" w:w="1417"/>
            <w:vAlign w:val="center"/>
          </w:tcPr>
          <w:p>
            <w:pPr>
              <w:spacing w:line="276" w:lineRule="auto" w:after="0"/>
            </w:pPr>
            <w:r/>
            <w:r>
              <w:rPr>
                <w:rFonts w:ascii="Times New Roman" w:hAnsi="Times New Roman"/>
                <w:b w:val="0"/>
                <w:color w:val="37352F"/>
                <w:sz w:val="20"/>
              </w:rPr>
              <w:t>77.43</w:t>
            </w:r>
          </w:p>
        </w:tc>
        <w:tc>
          <w:tcPr>
            <w:tcW w:type="dxa" w:w="1417"/>
            <w:vAlign w:val="center"/>
          </w:tcPr>
          <w:p>
            <w:pPr>
              <w:spacing w:line="276" w:lineRule="auto" w:after="0"/>
            </w:pPr>
            <w:r/>
            <w:r>
              <w:rPr>
                <w:rFonts w:ascii="Times New Roman" w:hAnsi="Times New Roman"/>
                <w:b w:val="0"/>
                <w:color w:val="37352F"/>
                <w:sz w:val="20"/>
              </w:rPr>
              <w:t>76.78</w:t>
            </w:r>
          </w:p>
        </w:tc>
        <w:tc>
          <w:tcPr>
            <w:tcW w:type="dxa" w:w="1134"/>
            <w:vAlign w:val="center"/>
          </w:tcPr>
          <w:p>
            <w:pPr>
              <w:spacing w:line="276" w:lineRule="auto" w:after="0"/>
            </w:pPr>
            <w:r/>
            <w:r>
              <w:rPr>
                <w:rFonts w:ascii="Times New Roman" w:hAnsi="Times New Roman"/>
                <w:b w:val="0"/>
                <w:color w:val="37352F"/>
                <w:sz w:val="20"/>
              </w:rPr>
              <w:t>-0.65</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EGCD</w:t>
            </w:r>
          </w:p>
        </w:tc>
        <w:tc>
          <w:tcPr>
            <w:tcW w:type="dxa" w:w="1417"/>
            <w:vAlign w:val="center"/>
            <w:shd w:val="clear" w:color="auto" w:fill="F7F7F5"/>
          </w:tcPr>
          <w:p>
            <w:pPr>
              <w:spacing w:line="276" w:lineRule="auto" w:after="0"/>
            </w:pPr>
            <w:r/>
            <w:r>
              <w:rPr>
                <w:rFonts w:ascii="Times New Roman" w:hAnsi="Times New Roman"/>
                <w:b w:val="0"/>
                <w:color w:val="37352F"/>
                <w:sz w:val="20"/>
              </w:rPr>
              <w:t>77.50</w:t>
            </w:r>
          </w:p>
        </w:tc>
        <w:tc>
          <w:tcPr>
            <w:tcW w:type="dxa" w:w="1417"/>
            <w:vAlign w:val="center"/>
            <w:shd w:val="clear" w:color="auto" w:fill="F7F7F5"/>
          </w:tcPr>
          <w:p>
            <w:pPr>
              <w:spacing w:line="276" w:lineRule="auto" w:after="0"/>
            </w:pPr>
            <w:r/>
            <w:r>
              <w:rPr>
                <w:rFonts w:ascii="Times New Roman" w:hAnsi="Times New Roman"/>
                <w:b w:val="0"/>
                <w:color w:val="37352F"/>
                <w:sz w:val="20"/>
              </w:rPr>
              <w:t>77.11</w:t>
            </w:r>
          </w:p>
        </w:tc>
        <w:tc>
          <w:tcPr>
            <w:tcW w:type="dxa" w:w="1134"/>
            <w:vAlign w:val="center"/>
            <w:shd w:val="clear" w:color="auto" w:fill="F7F7F5"/>
          </w:tcPr>
          <w:p>
            <w:pPr>
              <w:spacing w:line="276" w:lineRule="auto" w:after="0"/>
            </w:pPr>
            <w:r/>
            <w:r>
              <w:rPr>
                <w:rFonts w:ascii="Times New Roman" w:hAnsi="Times New Roman"/>
                <w:b w:val="0"/>
                <w:color w:val="37352F"/>
                <w:sz w:val="20"/>
              </w:rPr>
              <w:t>-0.39</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VCD</w:t>
            </w:r>
          </w:p>
        </w:tc>
        <w:tc>
          <w:tcPr>
            <w:tcW w:type="dxa" w:w="1417"/>
            <w:vAlign w:val="center"/>
          </w:tcPr>
          <w:p>
            <w:pPr>
              <w:spacing w:line="276" w:lineRule="auto" w:after="0"/>
            </w:pPr>
            <w:r/>
            <w:r>
              <w:rPr>
                <w:rFonts w:ascii="Times New Roman" w:hAnsi="Times New Roman"/>
                <w:b w:val="0"/>
                <w:color w:val="37352F"/>
                <w:sz w:val="20"/>
              </w:rPr>
              <w:t>68.32</w:t>
            </w:r>
          </w:p>
        </w:tc>
        <w:tc>
          <w:tcPr>
            <w:tcW w:type="dxa" w:w="1417"/>
            <w:vAlign w:val="center"/>
          </w:tcPr>
          <w:p>
            <w:pPr>
              <w:spacing w:line="276" w:lineRule="auto" w:after="0"/>
            </w:pPr>
            <w:r/>
            <w:r>
              <w:rPr>
                <w:rFonts w:ascii="Times New Roman" w:hAnsi="Times New Roman"/>
                <w:b w:val="0"/>
                <w:color w:val="37352F"/>
                <w:sz w:val="20"/>
              </w:rPr>
              <w:t>66.35</w:t>
            </w:r>
          </w:p>
        </w:tc>
        <w:tc>
          <w:tcPr>
            <w:tcW w:type="dxa" w:w="1134"/>
            <w:vAlign w:val="center"/>
          </w:tcPr>
          <w:p>
            <w:pPr>
              <w:spacing w:line="276" w:lineRule="auto" w:after="0"/>
            </w:pPr>
            <w:r/>
            <w:r>
              <w:rPr>
                <w:rFonts w:ascii="Times New Roman" w:hAnsi="Times New Roman"/>
                <w:b w:val="0"/>
                <w:color w:val="37352F"/>
                <w:sz w:val="20"/>
              </w:rPr>
              <w:t>-1.97</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SID</w:t>
            </w:r>
          </w:p>
        </w:tc>
        <w:tc>
          <w:tcPr>
            <w:tcW w:type="dxa" w:w="1417"/>
            <w:vAlign w:val="center"/>
            <w:shd w:val="clear" w:color="auto" w:fill="F7F7F5"/>
          </w:tcPr>
          <w:p>
            <w:pPr>
              <w:spacing w:line="276" w:lineRule="auto" w:after="0"/>
            </w:pPr>
            <w:r/>
            <w:r>
              <w:rPr>
                <w:rFonts w:ascii="Times New Roman" w:hAnsi="Times New Roman"/>
                <w:b w:val="0"/>
                <w:color w:val="37352F"/>
                <w:sz w:val="20"/>
              </w:rPr>
              <w:t>69.80</w:t>
            </w:r>
          </w:p>
        </w:tc>
        <w:tc>
          <w:tcPr>
            <w:tcW w:type="dxa" w:w="1417"/>
            <w:vAlign w:val="center"/>
            <w:shd w:val="clear" w:color="auto" w:fill="F7F7F5"/>
          </w:tcPr>
          <w:p>
            <w:pPr>
              <w:spacing w:line="276" w:lineRule="auto" w:after="0"/>
            </w:pPr>
            <w:r/>
            <w:r>
              <w:rPr>
                <w:rFonts w:ascii="Times New Roman" w:hAnsi="Times New Roman"/>
                <w:b w:val="0"/>
                <w:color w:val="37352F"/>
                <w:sz w:val="20"/>
              </w:rPr>
              <w:t>67.67</w:t>
            </w:r>
          </w:p>
        </w:tc>
        <w:tc>
          <w:tcPr>
            <w:tcW w:type="dxa" w:w="1134"/>
            <w:vAlign w:val="center"/>
            <w:shd w:val="clear" w:color="auto" w:fill="F7F7F5"/>
          </w:tcPr>
          <w:p>
            <w:pPr>
              <w:spacing w:line="276" w:lineRule="auto" w:after="0"/>
            </w:pPr>
            <w:r/>
            <w:r>
              <w:rPr>
                <w:rFonts w:ascii="Times New Roman" w:hAnsi="Times New Roman"/>
                <w:b w:val="0"/>
                <w:color w:val="37352F"/>
                <w:sz w:val="20"/>
              </w:rPr>
              <w:t>-2.13</w:t>
            </w:r>
          </w:p>
        </w:tc>
      </w:tr>
      <w:tr>
        <w:tc>
          <w:tcPr>
            <w:tcW w:type="dxa" w:w="2551"/>
            <w:vAlign w:val="center"/>
          </w:tcPr>
          <w:p>
            <w:pPr>
              <w:spacing w:line="276" w:lineRule="auto" w:after="0"/>
            </w:pPr>
            <w:r/>
            <w:r>
              <w:rPr>
                <w:rFonts w:ascii="Times New Roman" w:hAnsi="Times New Roman"/>
                <w:b w:val="0"/>
                <w:color w:val="37352F"/>
                <w:sz w:val="20"/>
              </w:rPr>
              <w:t>SmolVLM2-2.2B</w:t>
            </w:r>
          </w:p>
        </w:tc>
        <w:tc>
          <w:tcPr>
            <w:tcW w:type="dxa" w:w="1247"/>
            <w:vAlign w:val="center"/>
          </w:tcPr>
          <w:p>
            <w:pPr>
              <w:spacing w:line="276" w:lineRule="auto" w:after="0"/>
            </w:pPr>
            <w:r/>
            <w:r>
              <w:rPr>
                <w:rFonts w:ascii="Times New Roman" w:hAnsi="Times New Roman"/>
                <w:b w:val="0"/>
                <w:color w:val="37352F"/>
                <w:sz w:val="20"/>
              </w:rPr>
              <w:t>Greedy</w:t>
            </w:r>
          </w:p>
        </w:tc>
        <w:tc>
          <w:tcPr>
            <w:tcW w:type="dxa" w:w="1417"/>
            <w:vAlign w:val="center"/>
          </w:tcPr>
          <w:p>
            <w:pPr>
              <w:spacing w:line="276" w:lineRule="auto" w:after="0"/>
            </w:pPr>
            <w:r/>
            <w:r>
              <w:rPr>
                <w:rFonts w:ascii="Times New Roman" w:hAnsi="Times New Roman"/>
                <w:b w:val="0"/>
                <w:color w:val="37352F"/>
                <w:sz w:val="20"/>
              </w:rPr>
              <w:t>63.80</w:t>
            </w:r>
          </w:p>
        </w:tc>
        <w:tc>
          <w:tcPr>
            <w:tcW w:type="dxa" w:w="1417"/>
            <w:vAlign w:val="center"/>
          </w:tcPr>
          <w:p>
            <w:pPr>
              <w:spacing w:line="276" w:lineRule="auto" w:after="0"/>
            </w:pPr>
            <w:r/>
            <w:r>
              <w:rPr>
                <w:rFonts w:ascii="Times New Roman" w:hAnsi="Times New Roman"/>
                <w:b w:val="0"/>
                <w:color w:val="37352F"/>
                <w:sz w:val="20"/>
              </w:rPr>
              <w:t>63.51</w:t>
            </w:r>
          </w:p>
        </w:tc>
        <w:tc>
          <w:tcPr>
            <w:tcW w:type="dxa" w:w="1134"/>
            <w:vAlign w:val="center"/>
          </w:tcPr>
          <w:p>
            <w:pPr>
              <w:spacing w:line="276" w:lineRule="auto" w:after="0"/>
            </w:pPr>
            <w:r/>
            <w:r>
              <w:rPr>
                <w:rFonts w:ascii="Times New Roman" w:hAnsi="Times New Roman"/>
                <w:b w:val="0"/>
                <w:color w:val="37352F"/>
                <w:sz w:val="20"/>
              </w:rPr>
              <w:t>-0.29</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417"/>
            <w:vAlign w:val="center"/>
            <w:shd w:val="clear" w:color="auto" w:fill="F7F7F5"/>
          </w:tcPr>
          <w:p>
            <w:pPr>
              <w:spacing w:line="276" w:lineRule="auto" w:after="0"/>
            </w:pPr>
            <w:r/>
            <w:r>
              <w:rPr>
                <w:rFonts w:ascii="Times New Roman" w:hAnsi="Times New Roman"/>
                <w:b w:val="0"/>
                <w:color w:val="37352F"/>
                <w:sz w:val="20"/>
              </w:rPr>
              <w:t>67.98</w:t>
            </w:r>
          </w:p>
        </w:tc>
        <w:tc>
          <w:tcPr>
            <w:tcW w:type="dxa" w:w="1417"/>
            <w:vAlign w:val="center"/>
            <w:shd w:val="clear" w:color="auto" w:fill="F7F7F5"/>
          </w:tcPr>
          <w:p>
            <w:pPr>
              <w:spacing w:line="276" w:lineRule="auto" w:after="0"/>
            </w:pPr>
            <w:r/>
            <w:r>
              <w:rPr>
                <w:rFonts w:ascii="Times New Roman" w:hAnsi="Times New Roman"/>
                <w:b w:val="0"/>
                <w:color w:val="37352F"/>
                <w:sz w:val="20"/>
              </w:rPr>
              <w:t>67.05</w:t>
            </w:r>
          </w:p>
        </w:tc>
        <w:tc>
          <w:tcPr>
            <w:tcW w:type="dxa" w:w="1134"/>
            <w:vAlign w:val="center"/>
            <w:shd w:val="clear" w:color="auto" w:fill="F7F7F5"/>
          </w:tcPr>
          <w:p>
            <w:pPr>
              <w:spacing w:line="276" w:lineRule="auto" w:after="0"/>
            </w:pPr>
            <w:r/>
            <w:r>
              <w:rPr>
                <w:rFonts w:ascii="Times New Roman" w:hAnsi="Times New Roman"/>
                <w:b w:val="0"/>
                <w:color w:val="37352F"/>
                <w:sz w:val="20"/>
              </w:rPr>
              <w:t>-0.93</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417"/>
            <w:vAlign w:val="center"/>
          </w:tcPr>
          <w:p>
            <w:pPr>
              <w:spacing w:line="276" w:lineRule="auto" w:after="0"/>
            </w:pPr>
            <w:r/>
            <w:r>
              <w:rPr>
                <w:rFonts w:ascii="Times New Roman" w:hAnsi="Times New Roman"/>
                <w:b w:val="0"/>
                <w:color w:val="37352F"/>
                <w:sz w:val="20"/>
              </w:rPr>
              <w:t>68.07</w:t>
            </w:r>
          </w:p>
        </w:tc>
        <w:tc>
          <w:tcPr>
            <w:tcW w:type="dxa" w:w="1417"/>
            <w:vAlign w:val="center"/>
          </w:tcPr>
          <w:p>
            <w:pPr>
              <w:spacing w:line="276" w:lineRule="auto" w:after="0"/>
            </w:pPr>
            <w:r/>
            <w:r>
              <w:rPr>
                <w:rFonts w:ascii="Times New Roman" w:hAnsi="Times New Roman"/>
                <w:b w:val="0"/>
                <w:color w:val="37352F"/>
                <w:sz w:val="20"/>
              </w:rPr>
              <w:t>67.33</w:t>
            </w:r>
          </w:p>
        </w:tc>
        <w:tc>
          <w:tcPr>
            <w:tcW w:type="dxa" w:w="1134"/>
            <w:vAlign w:val="center"/>
          </w:tcPr>
          <w:p>
            <w:pPr>
              <w:spacing w:line="276" w:lineRule="auto" w:after="0"/>
            </w:pPr>
            <w:r/>
            <w:r>
              <w:rPr>
                <w:rFonts w:ascii="Times New Roman" w:hAnsi="Times New Roman"/>
                <w:b w:val="0"/>
                <w:color w:val="37352F"/>
                <w:sz w:val="20"/>
              </w:rPr>
              <w:t>-0.74</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417"/>
            <w:vAlign w:val="center"/>
            <w:shd w:val="clear" w:color="auto" w:fill="F7F7F5"/>
          </w:tcPr>
          <w:p>
            <w:pPr>
              <w:spacing w:line="276" w:lineRule="auto" w:after="0"/>
            </w:pPr>
            <w:r/>
            <w:r>
              <w:rPr>
                <w:rFonts w:ascii="Times New Roman" w:hAnsi="Times New Roman"/>
                <w:b w:val="0"/>
                <w:color w:val="37352F"/>
                <w:sz w:val="20"/>
              </w:rPr>
              <w:t>70.72</w:t>
            </w:r>
          </w:p>
        </w:tc>
        <w:tc>
          <w:tcPr>
            <w:tcW w:type="dxa" w:w="1417"/>
            <w:vAlign w:val="center"/>
            <w:shd w:val="clear" w:color="auto" w:fill="F7F7F5"/>
          </w:tcPr>
          <w:p>
            <w:pPr>
              <w:spacing w:line="276" w:lineRule="auto" w:after="0"/>
            </w:pPr>
            <w:r/>
            <w:r>
              <w:rPr>
                <w:rFonts w:ascii="Times New Roman" w:hAnsi="Times New Roman"/>
                <w:b w:val="0"/>
                <w:color w:val="37352F"/>
                <w:sz w:val="20"/>
              </w:rPr>
              <w:t>67.76</w:t>
            </w:r>
          </w:p>
        </w:tc>
        <w:tc>
          <w:tcPr>
            <w:tcW w:type="dxa" w:w="1134"/>
            <w:vAlign w:val="center"/>
            <w:shd w:val="clear" w:color="auto" w:fill="F7F7F5"/>
          </w:tcPr>
          <w:p>
            <w:pPr>
              <w:spacing w:line="276" w:lineRule="auto" w:after="0"/>
            </w:pPr>
            <w:r/>
            <w:r>
              <w:rPr>
                <w:rFonts w:ascii="Times New Roman" w:hAnsi="Times New Roman"/>
                <w:b w:val="0"/>
                <w:color w:val="37352F"/>
                <w:sz w:val="20"/>
              </w:rPr>
              <w:t>-2.96</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417"/>
            <w:vAlign w:val="center"/>
          </w:tcPr>
          <w:p>
            <w:pPr>
              <w:spacing w:line="276" w:lineRule="auto" w:after="0"/>
            </w:pPr>
            <w:r/>
            <w:r>
              <w:rPr>
                <w:rFonts w:ascii="Times New Roman" w:hAnsi="Times New Roman"/>
                <w:b w:val="0"/>
                <w:color w:val="37352F"/>
                <w:sz w:val="20"/>
              </w:rPr>
              <w:t>64.48</w:t>
            </w:r>
          </w:p>
        </w:tc>
        <w:tc>
          <w:tcPr>
            <w:tcW w:type="dxa" w:w="1417"/>
            <w:vAlign w:val="center"/>
          </w:tcPr>
          <w:p>
            <w:pPr>
              <w:spacing w:line="276" w:lineRule="auto" w:after="0"/>
            </w:pPr>
            <w:r/>
            <w:r>
              <w:rPr>
                <w:rFonts w:ascii="Times New Roman" w:hAnsi="Times New Roman"/>
                <w:b w:val="0"/>
                <w:color w:val="37352F"/>
                <w:sz w:val="20"/>
              </w:rPr>
              <w:t>63.51</w:t>
            </w:r>
          </w:p>
        </w:tc>
        <w:tc>
          <w:tcPr>
            <w:tcW w:type="dxa" w:w="1134"/>
            <w:vAlign w:val="center"/>
          </w:tcPr>
          <w:p>
            <w:pPr>
              <w:spacing w:line="276" w:lineRule="auto" w:after="0"/>
            </w:pPr>
            <w:r/>
            <w:r>
              <w:rPr>
                <w:rFonts w:ascii="Times New Roman" w:hAnsi="Times New Roman"/>
                <w:b w:val="0"/>
                <w:color w:val="37352F"/>
                <w:sz w:val="20"/>
              </w:rPr>
              <w:t>-0.97</w:t>
            </w:r>
          </w:p>
        </w:tc>
      </w:tr>
      <w:tr>
        <w:tc>
          <w:tcPr>
            <w:tcW w:type="dxa" w:w="2551"/>
            <w:vAlign w:val="center"/>
            <w:shd w:val="clear" w:color="auto" w:fill="F7F7F5"/>
          </w:tcPr>
          <w:p>
            <w:pPr>
              <w:spacing w:line="276" w:lineRule="auto" w:after="0"/>
            </w:pPr>
            <w:r/>
            <w:r>
              <w:rPr>
                <w:rFonts w:ascii="Times New Roman" w:hAnsi="Times New Roman"/>
                <w:b w:val="0"/>
                <w:color w:val="37352F"/>
                <w:sz w:val="20"/>
              </w:rPr>
              <w:t>Qwen2.5-VL-7B</w:t>
            </w:r>
          </w:p>
        </w:tc>
        <w:tc>
          <w:tcPr>
            <w:tcW w:type="dxa" w:w="1247"/>
            <w:vAlign w:val="center"/>
            <w:shd w:val="clear" w:color="auto" w:fill="F7F7F5"/>
          </w:tcPr>
          <w:p>
            <w:pPr>
              <w:spacing w:line="276" w:lineRule="auto" w:after="0"/>
            </w:pPr>
            <w:r/>
            <w:r>
              <w:rPr>
                <w:rFonts w:ascii="Times New Roman" w:hAnsi="Times New Roman"/>
                <w:b w:val="0"/>
                <w:color w:val="37352F"/>
                <w:sz w:val="20"/>
              </w:rPr>
              <w:t>Greedy</w:t>
            </w:r>
          </w:p>
        </w:tc>
        <w:tc>
          <w:tcPr>
            <w:tcW w:type="dxa" w:w="1417"/>
            <w:vAlign w:val="center"/>
            <w:shd w:val="clear" w:color="auto" w:fill="F7F7F5"/>
          </w:tcPr>
          <w:p>
            <w:pPr>
              <w:spacing w:line="276" w:lineRule="auto" w:after="0"/>
            </w:pPr>
            <w:r/>
            <w:r>
              <w:rPr>
                <w:rFonts w:ascii="Times New Roman" w:hAnsi="Times New Roman"/>
                <w:b w:val="0"/>
                <w:color w:val="37352F"/>
                <w:sz w:val="20"/>
              </w:rPr>
              <w:t>80.86</w:t>
            </w:r>
          </w:p>
        </w:tc>
        <w:tc>
          <w:tcPr>
            <w:tcW w:type="dxa" w:w="1417"/>
            <w:vAlign w:val="center"/>
            <w:shd w:val="clear" w:color="auto" w:fill="F7F7F5"/>
          </w:tcPr>
          <w:p>
            <w:pPr>
              <w:spacing w:line="276" w:lineRule="auto" w:after="0"/>
            </w:pPr>
            <w:r/>
            <w:r>
              <w:rPr>
                <w:rFonts w:ascii="Times New Roman" w:hAnsi="Times New Roman"/>
                <w:b w:val="0"/>
                <w:color w:val="37352F"/>
                <w:sz w:val="20"/>
              </w:rPr>
              <w:t>78.95</w:t>
            </w:r>
          </w:p>
        </w:tc>
        <w:tc>
          <w:tcPr>
            <w:tcW w:type="dxa" w:w="1134"/>
            <w:vAlign w:val="center"/>
            <w:shd w:val="clear" w:color="auto" w:fill="F7F7F5"/>
          </w:tcPr>
          <w:p>
            <w:pPr>
              <w:spacing w:line="276" w:lineRule="auto" w:after="0"/>
            </w:pPr>
            <w:r/>
            <w:r>
              <w:rPr>
                <w:rFonts w:ascii="Times New Roman" w:hAnsi="Times New Roman"/>
                <w:b w:val="0"/>
                <w:color w:val="37352F"/>
                <w:sz w:val="20"/>
              </w:rPr>
              <w:t>-1.91</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CD+APC</w:t>
            </w:r>
          </w:p>
        </w:tc>
        <w:tc>
          <w:tcPr>
            <w:tcW w:type="dxa" w:w="1417"/>
            <w:vAlign w:val="center"/>
          </w:tcPr>
          <w:p>
            <w:pPr>
              <w:spacing w:line="276" w:lineRule="auto" w:after="0"/>
            </w:pPr>
            <w:r/>
            <w:r>
              <w:rPr>
                <w:rFonts w:ascii="Times New Roman" w:hAnsi="Times New Roman"/>
                <w:b w:val="0"/>
                <w:color w:val="37352F"/>
                <w:sz w:val="20"/>
              </w:rPr>
              <w:t>82.85</w:t>
            </w:r>
          </w:p>
        </w:tc>
        <w:tc>
          <w:tcPr>
            <w:tcW w:type="dxa" w:w="1417"/>
            <w:vAlign w:val="center"/>
          </w:tcPr>
          <w:p>
            <w:pPr>
              <w:spacing w:line="276" w:lineRule="auto" w:after="0"/>
            </w:pPr>
            <w:r/>
            <w:r>
              <w:rPr>
                <w:rFonts w:ascii="Times New Roman" w:hAnsi="Times New Roman"/>
                <w:b w:val="0"/>
                <w:color w:val="37352F"/>
                <w:sz w:val="20"/>
              </w:rPr>
              <w:t>81.55</w:t>
            </w:r>
          </w:p>
        </w:tc>
        <w:tc>
          <w:tcPr>
            <w:tcW w:type="dxa" w:w="1134"/>
            <w:vAlign w:val="center"/>
          </w:tcPr>
          <w:p>
            <w:pPr>
              <w:spacing w:line="276" w:lineRule="auto" w:after="0"/>
            </w:pPr>
            <w:r/>
            <w:r>
              <w:rPr>
                <w:rFonts w:ascii="Times New Roman" w:hAnsi="Times New Roman"/>
                <w:b w:val="0"/>
                <w:color w:val="37352F"/>
                <w:sz w:val="20"/>
              </w:rPr>
              <w:t>-1.30</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EGCD</w:t>
            </w:r>
          </w:p>
        </w:tc>
        <w:tc>
          <w:tcPr>
            <w:tcW w:type="dxa" w:w="1417"/>
            <w:vAlign w:val="center"/>
            <w:shd w:val="clear" w:color="auto" w:fill="F7F7F5"/>
          </w:tcPr>
          <w:p>
            <w:pPr>
              <w:spacing w:line="276" w:lineRule="auto" w:after="0"/>
            </w:pPr>
            <w:r/>
            <w:r>
              <w:rPr>
                <w:rFonts w:ascii="Times New Roman" w:hAnsi="Times New Roman"/>
                <w:b w:val="0"/>
                <w:color w:val="37352F"/>
                <w:sz w:val="20"/>
              </w:rPr>
              <w:t>82.78</w:t>
            </w:r>
          </w:p>
        </w:tc>
        <w:tc>
          <w:tcPr>
            <w:tcW w:type="dxa" w:w="1417"/>
            <w:vAlign w:val="center"/>
            <w:shd w:val="clear" w:color="auto" w:fill="F7F7F5"/>
          </w:tcPr>
          <w:p>
            <w:pPr>
              <w:spacing w:line="276" w:lineRule="auto" w:after="0"/>
            </w:pPr>
            <w:r/>
            <w:r>
              <w:rPr>
                <w:rFonts w:ascii="Times New Roman" w:hAnsi="Times New Roman"/>
                <w:b w:val="0"/>
                <w:color w:val="37352F"/>
                <w:sz w:val="20"/>
              </w:rPr>
              <w:t>80.98</w:t>
            </w:r>
          </w:p>
        </w:tc>
        <w:tc>
          <w:tcPr>
            <w:tcW w:type="dxa" w:w="1134"/>
            <w:vAlign w:val="center"/>
            <w:shd w:val="clear" w:color="auto" w:fill="F7F7F5"/>
          </w:tcPr>
          <w:p>
            <w:pPr>
              <w:spacing w:line="276" w:lineRule="auto" w:after="0"/>
            </w:pPr>
            <w:r/>
            <w:r>
              <w:rPr>
                <w:rFonts w:ascii="Times New Roman" w:hAnsi="Times New Roman"/>
                <w:b w:val="0"/>
                <w:color w:val="37352F"/>
                <w:sz w:val="20"/>
              </w:rPr>
              <w:t>-1.80</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VCD</w:t>
            </w:r>
          </w:p>
        </w:tc>
        <w:tc>
          <w:tcPr>
            <w:tcW w:type="dxa" w:w="1417"/>
            <w:vAlign w:val="center"/>
          </w:tcPr>
          <w:p>
            <w:pPr>
              <w:spacing w:line="276" w:lineRule="auto" w:after="0"/>
            </w:pPr>
            <w:r/>
            <w:r>
              <w:rPr>
                <w:rFonts w:ascii="Times New Roman" w:hAnsi="Times New Roman"/>
                <w:b w:val="0"/>
                <w:color w:val="37352F"/>
                <w:sz w:val="20"/>
              </w:rPr>
              <w:t>79.91</w:t>
            </w:r>
          </w:p>
        </w:tc>
        <w:tc>
          <w:tcPr>
            <w:tcW w:type="dxa" w:w="1417"/>
            <w:vAlign w:val="center"/>
          </w:tcPr>
          <w:p>
            <w:pPr>
              <w:spacing w:line="276" w:lineRule="auto" w:after="0"/>
            </w:pPr>
            <w:r/>
            <w:r>
              <w:rPr>
                <w:rFonts w:ascii="Times New Roman" w:hAnsi="Times New Roman"/>
                <w:b w:val="0"/>
                <w:color w:val="37352F"/>
                <w:sz w:val="20"/>
              </w:rPr>
              <w:t>78.39</w:t>
            </w:r>
          </w:p>
        </w:tc>
        <w:tc>
          <w:tcPr>
            <w:tcW w:type="dxa" w:w="1134"/>
            <w:vAlign w:val="center"/>
          </w:tcPr>
          <w:p>
            <w:pPr>
              <w:spacing w:line="276" w:lineRule="auto" w:after="0"/>
            </w:pPr>
            <w:r/>
            <w:r>
              <w:rPr>
                <w:rFonts w:ascii="Times New Roman" w:hAnsi="Times New Roman"/>
                <w:b w:val="0"/>
                <w:color w:val="37352F"/>
                <w:sz w:val="20"/>
              </w:rPr>
              <w:t>-1.52</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SID</w:t>
            </w:r>
          </w:p>
        </w:tc>
        <w:tc>
          <w:tcPr>
            <w:tcW w:type="dxa" w:w="1417"/>
            <w:vAlign w:val="center"/>
            <w:shd w:val="clear" w:color="auto" w:fill="F7F7F5"/>
          </w:tcPr>
          <w:p>
            <w:pPr>
              <w:spacing w:line="276" w:lineRule="auto" w:after="0"/>
            </w:pPr>
            <w:r/>
            <w:r>
              <w:rPr>
                <w:rFonts w:ascii="Times New Roman" w:hAnsi="Times New Roman"/>
                <w:b w:val="0"/>
                <w:color w:val="37352F"/>
                <w:sz w:val="20"/>
              </w:rPr>
              <w:t>80.76</w:t>
            </w:r>
          </w:p>
        </w:tc>
        <w:tc>
          <w:tcPr>
            <w:tcW w:type="dxa" w:w="1417"/>
            <w:vAlign w:val="center"/>
            <w:shd w:val="clear" w:color="auto" w:fill="F7F7F5"/>
          </w:tcPr>
          <w:p>
            <w:pPr>
              <w:spacing w:line="276" w:lineRule="auto" w:after="0"/>
            </w:pPr>
            <w:r/>
            <w:r>
              <w:rPr>
                <w:rFonts w:ascii="Times New Roman" w:hAnsi="Times New Roman"/>
                <w:b w:val="0"/>
                <w:color w:val="37352F"/>
                <w:sz w:val="20"/>
              </w:rPr>
              <w:t>78.95</w:t>
            </w:r>
          </w:p>
        </w:tc>
        <w:tc>
          <w:tcPr>
            <w:tcW w:type="dxa" w:w="1134"/>
            <w:vAlign w:val="center"/>
            <w:shd w:val="clear" w:color="auto" w:fill="F7F7F5"/>
          </w:tcPr>
          <w:p>
            <w:pPr>
              <w:spacing w:line="276" w:lineRule="auto" w:after="0"/>
            </w:pPr>
            <w:r/>
            <w:r>
              <w:rPr>
                <w:rFonts w:ascii="Times New Roman" w:hAnsi="Times New Roman"/>
                <w:b w:val="0"/>
                <w:color w:val="37352F"/>
                <w:sz w:val="20"/>
              </w:rPr>
              <w:t>-1.81</w:t>
            </w:r>
          </w:p>
        </w:tc>
      </w:tr>
      <w:tr>
        <w:tc>
          <w:tcPr>
            <w:tcW w:type="dxa" w:w="2551"/>
            <w:vAlign w:val="center"/>
          </w:tcPr>
          <w:p>
            <w:pPr>
              <w:spacing w:line="276" w:lineRule="auto" w:after="0"/>
            </w:pPr>
            <w:r/>
            <w:r>
              <w:rPr>
                <w:rFonts w:ascii="Times New Roman" w:hAnsi="Times New Roman"/>
                <w:b w:val="0"/>
                <w:color w:val="37352F"/>
                <w:sz w:val="20"/>
              </w:rPr>
              <w:t>Idefics2-8B</w:t>
            </w:r>
          </w:p>
        </w:tc>
        <w:tc>
          <w:tcPr>
            <w:tcW w:type="dxa" w:w="1247"/>
            <w:vAlign w:val="center"/>
          </w:tcPr>
          <w:p>
            <w:pPr>
              <w:spacing w:line="276" w:lineRule="auto" w:after="0"/>
            </w:pPr>
            <w:r/>
            <w:r>
              <w:rPr>
                <w:rFonts w:ascii="Times New Roman" w:hAnsi="Times New Roman"/>
                <w:b w:val="0"/>
                <w:color w:val="37352F"/>
                <w:sz w:val="20"/>
              </w:rPr>
              <w:t>Greedy</w:t>
            </w:r>
          </w:p>
        </w:tc>
        <w:tc>
          <w:tcPr>
            <w:tcW w:type="dxa" w:w="1417"/>
            <w:vAlign w:val="center"/>
          </w:tcPr>
          <w:p>
            <w:pPr>
              <w:spacing w:line="276" w:lineRule="auto" w:after="0"/>
            </w:pPr>
            <w:r/>
            <w:r>
              <w:rPr>
                <w:rFonts w:ascii="Times New Roman" w:hAnsi="Times New Roman"/>
                <w:b w:val="0"/>
                <w:color w:val="37352F"/>
                <w:sz w:val="20"/>
              </w:rPr>
              <w:t>83.03</w:t>
            </w:r>
          </w:p>
        </w:tc>
        <w:tc>
          <w:tcPr>
            <w:tcW w:type="dxa" w:w="1417"/>
            <w:vAlign w:val="center"/>
          </w:tcPr>
          <w:p>
            <w:pPr>
              <w:spacing w:line="276" w:lineRule="auto" w:after="0"/>
            </w:pPr>
            <w:r/>
            <w:r>
              <w:rPr>
                <w:rFonts w:ascii="Times New Roman" w:hAnsi="Times New Roman"/>
                <w:b w:val="0"/>
                <w:color w:val="37352F"/>
                <w:sz w:val="20"/>
              </w:rPr>
              <w:t>82.52</w:t>
            </w:r>
          </w:p>
        </w:tc>
        <w:tc>
          <w:tcPr>
            <w:tcW w:type="dxa" w:w="1134"/>
            <w:vAlign w:val="center"/>
          </w:tcPr>
          <w:p>
            <w:pPr>
              <w:spacing w:line="276" w:lineRule="auto" w:after="0"/>
            </w:pPr>
            <w:r/>
            <w:r>
              <w:rPr>
                <w:rFonts w:ascii="Times New Roman" w:hAnsi="Times New Roman"/>
                <w:b w:val="0"/>
                <w:color w:val="37352F"/>
                <w:sz w:val="20"/>
              </w:rPr>
              <w:t>-0.51</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417"/>
            <w:vAlign w:val="center"/>
            <w:shd w:val="clear" w:color="auto" w:fill="F7F7F5"/>
          </w:tcPr>
          <w:p>
            <w:pPr>
              <w:spacing w:line="276" w:lineRule="auto" w:after="0"/>
            </w:pPr>
            <w:r/>
            <w:r>
              <w:rPr>
                <w:rFonts w:ascii="Times New Roman" w:hAnsi="Times New Roman"/>
                <w:b w:val="0"/>
                <w:color w:val="37352F"/>
                <w:sz w:val="20"/>
              </w:rPr>
              <w:t>82.97</w:t>
            </w:r>
          </w:p>
        </w:tc>
        <w:tc>
          <w:tcPr>
            <w:tcW w:type="dxa" w:w="1417"/>
            <w:vAlign w:val="center"/>
            <w:shd w:val="clear" w:color="auto" w:fill="F7F7F5"/>
          </w:tcPr>
          <w:p>
            <w:pPr>
              <w:spacing w:line="276" w:lineRule="auto" w:after="0"/>
            </w:pPr>
            <w:r/>
            <w:r>
              <w:rPr>
                <w:rFonts w:ascii="Times New Roman" w:hAnsi="Times New Roman"/>
                <w:b w:val="0"/>
                <w:color w:val="37352F"/>
                <w:sz w:val="20"/>
              </w:rPr>
              <w:t>81.66</w:t>
            </w:r>
          </w:p>
        </w:tc>
        <w:tc>
          <w:tcPr>
            <w:tcW w:type="dxa" w:w="1134"/>
            <w:vAlign w:val="center"/>
            <w:shd w:val="clear" w:color="auto" w:fill="F7F7F5"/>
          </w:tcPr>
          <w:p>
            <w:pPr>
              <w:spacing w:line="276" w:lineRule="auto" w:after="0"/>
            </w:pPr>
            <w:r/>
            <w:r>
              <w:rPr>
                <w:rFonts w:ascii="Times New Roman" w:hAnsi="Times New Roman"/>
                <w:b w:val="0"/>
                <w:color w:val="37352F"/>
                <w:sz w:val="20"/>
              </w:rPr>
              <w:t>-1.31</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417"/>
            <w:vAlign w:val="center"/>
          </w:tcPr>
          <w:p>
            <w:pPr>
              <w:spacing w:line="276" w:lineRule="auto" w:after="0"/>
            </w:pPr>
            <w:r/>
            <w:r>
              <w:rPr>
                <w:rFonts w:ascii="Times New Roman" w:hAnsi="Times New Roman"/>
                <w:b w:val="0"/>
                <w:color w:val="37352F"/>
                <w:sz w:val="20"/>
              </w:rPr>
              <w:t>83.07</w:t>
            </w:r>
          </w:p>
        </w:tc>
        <w:tc>
          <w:tcPr>
            <w:tcW w:type="dxa" w:w="1417"/>
            <w:vAlign w:val="center"/>
          </w:tcPr>
          <w:p>
            <w:pPr>
              <w:spacing w:line="276" w:lineRule="auto" w:after="0"/>
            </w:pPr>
            <w:r/>
            <w:r>
              <w:rPr>
                <w:rFonts w:ascii="Times New Roman" w:hAnsi="Times New Roman"/>
                <w:b w:val="0"/>
                <w:color w:val="37352F"/>
                <w:sz w:val="20"/>
              </w:rPr>
              <w:t>82.28</w:t>
            </w:r>
          </w:p>
        </w:tc>
        <w:tc>
          <w:tcPr>
            <w:tcW w:type="dxa" w:w="1134"/>
            <w:vAlign w:val="center"/>
          </w:tcPr>
          <w:p>
            <w:pPr>
              <w:spacing w:line="276" w:lineRule="auto" w:after="0"/>
            </w:pPr>
            <w:r/>
            <w:r>
              <w:rPr>
                <w:rFonts w:ascii="Times New Roman" w:hAnsi="Times New Roman"/>
                <w:b w:val="0"/>
                <w:color w:val="37352F"/>
                <w:sz w:val="20"/>
              </w:rPr>
              <w:t>-0.79</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417"/>
            <w:vAlign w:val="center"/>
            <w:shd w:val="clear" w:color="auto" w:fill="F7F7F5"/>
          </w:tcPr>
          <w:p>
            <w:pPr>
              <w:spacing w:line="276" w:lineRule="auto" w:after="0"/>
            </w:pPr>
            <w:r/>
            <w:r>
              <w:rPr>
                <w:rFonts w:ascii="Times New Roman" w:hAnsi="Times New Roman"/>
                <w:b w:val="0"/>
                <w:color w:val="37352F"/>
                <w:sz w:val="20"/>
              </w:rPr>
              <w:t>82.49</w:t>
            </w:r>
          </w:p>
        </w:tc>
        <w:tc>
          <w:tcPr>
            <w:tcW w:type="dxa" w:w="1417"/>
            <w:vAlign w:val="center"/>
            <w:shd w:val="clear" w:color="auto" w:fill="F7F7F5"/>
          </w:tcPr>
          <w:p>
            <w:pPr>
              <w:spacing w:line="276" w:lineRule="auto" w:after="0"/>
            </w:pPr>
            <w:r/>
            <w:r>
              <w:rPr>
                <w:rFonts w:ascii="Times New Roman" w:hAnsi="Times New Roman"/>
                <w:b w:val="0"/>
                <w:color w:val="37352F"/>
                <w:sz w:val="20"/>
              </w:rPr>
              <w:t>81.30</w:t>
            </w:r>
          </w:p>
        </w:tc>
        <w:tc>
          <w:tcPr>
            <w:tcW w:type="dxa" w:w="1134"/>
            <w:vAlign w:val="center"/>
            <w:shd w:val="clear" w:color="auto" w:fill="F7F7F5"/>
          </w:tcPr>
          <w:p>
            <w:pPr>
              <w:spacing w:line="276" w:lineRule="auto" w:after="0"/>
            </w:pPr>
            <w:r/>
            <w:r>
              <w:rPr>
                <w:rFonts w:ascii="Times New Roman" w:hAnsi="Times New Roman"/>
                <w:b w:val="0"/>
                <w:color w:val="37352F"/>
                <w:sz w:val="20"/>
              </w:rPr>
              <w:t>-1.19</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417"/>
            <w:vAlign w:val="center"/>
          </w:tcPr>
          <w:p>
            <w:pPr>
              <w:spacing w:line="276" w:lineRule="auto" w:after="0"/>
            </w:pPr>
            <w:r/>
            <w:r>
              <w:rPr>
                <w:rFonts w:ascii="Times New Roman" w:hAnsi="Times New Roman"/>
                <w:b w:val="0"/>
                <w:color w:val="37352F"/>
                <w:sz w:val="20"/>
              </w:rPr>
              <w:t>83.03</w:t>
            </w:r>
          </w:p>
        </w:tc>
        <w:tc>
          <w:tcPr>
            <w:tcW w:type="dxa" w:w="1417"/>
            <w:vAlign w:val="center"/>
          </w:tcPr>
          <w:p>
            <w:pPr>
              <w:spacing w:line="276" w:lineRule="auto" w:after="0"/>
            </w:pPr>
            <w:r/>
            <w:r>
              <w:rPr>
                <w:rFonts w:ascii="Times New Roman" w:hAnsi="Times New Roman"/>
                <w:b w:val="0"/>
                <w:color w:val="37352F"/>
                <w:sz w:val="20"/>
              </w:rPr>
              <w:t>82.73</w:t>
            </w:r>
          </w:p>
        </w:tc>
        <w:tc>
          <w:tcPr>
            <w:tcW w:type="dxa" w:w="1134"/>
            <w:vAlign w:val="center"/>
          </w:tcPr>
          <w:p>
            <w:pPr>
              <w:spacing w:line="276" w:lineRule="auto" w:after="0"/>
            </w:pPr>
            <w:r/>
            <w:r>
              <w:rPr>
                <w:rFonts w:ascii="Times New Roman" w:hAnsi="Times New Roman"/>
                <w:b w:val="0"/>
                <w:color w:val="37352F"/>
                <w:sz w:val="20"/>
              </w:rPr>
              <w:t>-0.30</w:t>
            </w:r>
          </w:p>
        </w:tc>
      </w:tr>
      <w:tr>
        <w:tc>
          <w:tcPr>
            <w:tcW w:type="dxa" w:w="2551"/>
            <w:vAlign w:val="center"/>
            <w:shd w:val="clear" w:color="auto" w:fill="F7F7F5"/>
          </w:tcPr>
          <w:p>
            <w:pPr>
              <w:spacing w:line="276" w:lineRule="auto" w:after="0"/>
            </w:pPr>
            <w:r/>
            <w:r>
              <w:rPr>
                <w:rFonts w:ascii="Times New Roman" w:hAnsi="Times New Roman"/>
                <w:b w:val="0"/>
                <w:color w:val="37352F"/>
                <w:sz w:val="20"/>
              </w:rPr>
              <w:t>LLaVA-1.5-7B</w:t>
            </w:r>
          </w:p>
        </w:tc>
        <w:tc>
          <w:tcPr>
            <w:tcW w:type="dxa" w:w="1247"/>
            <w:vAlign w:val="center"/>
            <w:shd w:val="clear" w:color="auto" w:fill="F7F7F5"/>
          </w:tcPr>
          <w:p>
            <w:pPr>
              <w:spacing w:line="276" w:lineRule="auto" w:after="0"/>
            </w:pPr>
            <w:r/>
            <w:r>
              <w:rPr>
                <w:rFonts w:ascii="Times New Roman" w:hAnsi="Times New Roman"/>
                <w:b w:val="0"/>
                <w:color w:val="37352F"/>
                <w:sz w:val="20"/>
              </w:rPr>
              <w:t>Greedy</w:t>
            </w:r>
          </w:p>
        </w:tc>
        <w:tc>
          <w:tcPr>
            <w:tcW w:type="dxa" w:w="1417"/>
            <w:vAlign w:val="center"/>
            <w:shd w:val="clear" w:color="auto" w:fill="F7F7F5"/>
          </w:tcPr>
          <w:p>
            <w:pPr>
              <w:spacing w:line="276" w:lineRule="auto" w:after="0"/>
            </w:pPr>
            <w:r/>
            <w:r>
              <w:rPr>
                <w:rFonts w:ascii="Times New Roman" w:hAnsi="Times New Roman"/>
                <w:b w:val="0"/>
                <w:color w:val="37352F"/>
                <w:sz w:val="20"/>
              </w:rPr>
              <w:t>76.78</w:t>
            </w:r>
          </w:p>
        </w:tc>
        <w:tc>
          <w:tcPr>
            <w:tcW w:type="dxa" w:w="1417"/>
            <w:vAlign w:val="center"/>
            <w:shd w:val="clear" w:color="auto" w:fill="F7F7F5"/>
          </w:tcPr>
          <w:p>
            <w:pPr>
              <w:spacing w:line="276" w:lineRule="auto" w:after="0"/>
            </w:pPr>
            <w:r/>
            <w:r>
              <w:rPr>
                <w:rFonts w:ascii="Times New Roman" w:hAnsi="Times New Roman"/>
                <w:b w:val="0"/>
                <w:color w:val="37352F"/>
                <w:sz w:val="20"/>
              </w:rPr>
              <w:t>75.11</w:t>
            </w:r>
          </w:p>
        </w:tc>
        <w:tc>
          <w:tcPr>
            <w:tcW w:type="dxa" w:w="1134"/>
            <w:vAlign w:val="center"/>
            <w:shd w:val="clear" w:color="auto" w:fill="F7F7F5"/>
          </w:tcPr>
          <w:p>
            <w:pPr>
              <w:spacing w:line="276" w:lineRule="auto" w:after="0"/>
            </w:pPr>
            <w:r/>
            <w:r>
              <w:rPr>
                <w:rFonts w:ascii="Times New Roman" w:hAnsi="Times New Roman"/>
                <w:b w:val="0"/>
                <w:color w:val="37352F"/>
                <w:sz w:val="20"/>
              </w:rPr>
              <w:t>-1.67</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CD+APC</w:t>
            </w:r>
          </w:p>
        </w:tc>
        <w:tc>
          <w:tcPr>
            <w:tcW w:type="dxa" w:w="1417"/>
            <w:vAlign w:val="center"/>
          </w:tcPr>
          <w:p>
            <w:pPr>
              <w:spacing w:line="276" w:lineRule="auto" w:after="0"/>
            </w:pPr>
            <w:r/>
            <w:r>
              <w:rPr>
                <w:rFonts w:ascii="Times New Roman" w:hAnsi="Times New Roman"/>
                <w:b w:val="0"/>
                <w:color w:val="37352F"/>
                <w:sz w:val="20"/>
              </w:rPr>
              <w:t>63.06</w:t>
            </w:r>
          </w:p>
        </w:tc>
        <w:tc>
          <w:tcPr>
            <w:tcW w:type="dxa" w:w="1417"/>
            <w:vAlign w:val="center"/>
          </w:tcPr>
          <w:p>
            <w:pPr>
              <w:spacing w:line="276" w:lineRule="auto" w:after="0"/>
            </w:pPr>
            <w:r/>
            <w:r>
              <w:rPr>
                <w:rFonts w:ascii="Times New Roman" w:hAnsi="Times New Roman"/>
                <w:b w:val="0"/>
                <w:color w:val="37352F"/>
                <w:sz w:val="20"/>
              </w:rPr>
              <w:t>65.09</w:t>
            </w:r>
          </w:p>
        </w:tc>
        <w:tc>
          <w:tcPr>
            <w:tcW w:type="dxa" w:w="1134"/>
            <w:vAlign w:val="center"/>
          </w:tcPr>
          <w:p>
            <w:pPr>
              <w:spacing w:line="276" w:lineRule="auto" w:after="0"/>
            </w:pPr>
            <w:r/>
            <w:r>
              <w:rPr>
                <w:rFonts w:ascii="Times New Roman" w:hAnsi="Times New Roman"/>
                <w:b w:val="0"/>
                <w:color w:val="37352F"/>
                <w:sz w:val="20"/>
              </w:rPr>
              <w:t>+2.03</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EGCD</w:t>
            </w:r>
          </w:p>
        </w:tc>
        <w:tc>
          <w:tcPr>
            <w:tcW w:type="dxa" w:w="1417"/>
            <w:vAlign w:val="center"/>
            <w:shd w:val="clear" w:color="auto" w:fill="F7F7F5"/>
          </w:tcPr>
          <w:p>
            <w:pPr>
              <w:spacing w:line="276" w:lineRule="auto" w:after="0"/>
            </w:pPr>
            <w:r/>
            <w:r>
              <w:rPr>
                <w:rFonts w:ascii="Times New Roman" w:hAnsi="Times New Roman"/>
                <w:b w:val="0"/>
                <w:color w:val="37352F"/>
                <w:sz w:val="20"/>
              </w:rPr>
              <w:t>76.78</w:t>
            </w:r>
          </w:p>
        </w:tc>
        <w:tc>
          <w:tcPr>
            <w:tcW w:type="dxa" w:w="1417"/>
            <w:vAlign w:val="center"/>
            <w:shd w:val="clear" w:color="auto" w:fill="F7F7F5"/>
          </w:tcPr>
          <w:p>
            <w:pPr>
              <w:spacing w:line="276" w:lineRule="auto" w:after="0"/>
            </w:pPr>
            <w:r/>
            <w:r>
              <w:rPr>
                <w:rFonts w:ascii="Times New Roman" w:hAnsi="Times New Roman"/>
                <w:b w:val="0"/>
                <w:color w:val="37352F"/>
                <w:sz w:val="20"/>
              </w:rPr>
              <w:t>75.11</w:t>
            </w:r>
          </w:p>
        </w:tc>
        <w:tc>
          <w:tcPr>
            <w:tcW w:type="dxa" w:w="1134"/>
            <w:vAlign w:val="center"/>
            <w:shd w:val="clear" w:color="auto" w:fill="F7F7F5"/>
          </w:tcPr>
          <w:p>
            <w:pPr>
              <w:spacing w:line="276" w:lineRule="auto" w:after="0"/>
            </w:pPr>
            <w:r/>
            <w:r>
              <w:rPr>
                <w:rFonts w:ascii="Times New Roman" w:hAnsi="Times New Roman"/>
                <w:b w:val="0"/>
                <w:color w:val="37352F"/>
                <w:sz w:val="20"/>
              </w:rPr>
              <w:t>-1.67</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VCD</w:t>
            </w:r>
          </w:p>
        </w:tc>
        <w:tc>
          <w:tcPr>
            <w:tcW w:type="dxa" w:w="1417"/>
            <w:vAlign w:val="center"/>
          </w:tcPr>
          <w:p>
            <w:pPr>
              <w:spacing w:line="276" w:lineRule="auto" w:after="0"/>
            </w:pPr>
            <w:r/>
            <w:r>
              <w:rPr>
                <w:rFonts w:ascii="Times New Roman" w:hAnsi="Times New Roman"/>
                <w:b w:val="0"/>
                <w:color w:val="37352F"/>
                <w:sz w:val="20"/>
              </w:rPr>
              <w:t>75.96</w:t>
            </w:r>
          </w:p>
        </w:tc>
        <w:tc>
          <w:tcPr>
            <w:tcW w:type="dxa" w:w="1417"/>
            <w:vAlign w:val="center"/>
          </w:tcPr>
          <w:p>
            <w:pPr>
              <w:spacing w:line="276" w:lineRule="auto" w:after="0"/>
            </w:pPr>
            <w:r/>
            <w:r>
              <w:rPr>
                <w:rFonts w:ascii="Times New Roman" w:hAnsi="Times New Roman"/>
                <w:b w:val="0"/>
                <w:color w:val="37352F"/>
                <w:sz w:val="20"/>
              </w:rPr>
              <w:t>73.37</w:t>
            </w:r>
          </w:p>
        </w:tc>
        <w:tc>
          <w:tcPr>
            <w:tcW w:type="dxa" w:w="1134"/>
            <w:vAlign w:val="center"/>
          </w:tcPr>
          <w:p>
            <w:pPr>
              <w:spacing w:line="276" w:lineRule="auto" w:after="0"/>
            </w:pPr>
            <w:r/>
            <w:r>
              <w:rPr>
                <w:rFonts w:ascii="Times New Roman" w:hAnsi="Times New Roman"/>
                <w:b w:val="0"/>
                <w:color w:val="37352F"/>
                <w:sz w:val="20"/>
              </w:rPr>
              <w:t>-2.59</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SID</w:t>
            </w:r>
          </w:p>
        </w:tc>
        <w:tc>
          <w:tcPr>
            <w:tcW w:type="dxa" w:w="1417"/>
            <w:vAlign w:val="center"/>
            <w:shd w:val="clear" w:color="auto" w:fill="F7F7F5"/>
          </w:tcPr>
          <w:p>
            <w:pPr>
              <w:spacing w:line="276" w:lineRule="auto" w:after="0"/>
            </w:pPr>
            <w:r/>
            <w:r>
              <w:rPr>
                <w:rFonts w:ascii="Times New Roman" w:hAnsi="Times New Roman"/>
                <w:b w:val="0"/>
                <w:color w:val="37352F"/>
                <w:sz w:val="20"/>
              </w:rPr>
              <w:t>76.78</w:t>
            </w:r>
          </w:p>
        </w:tc>
        <w:tc>
          <w:tcPr>
            <w:tcW w:type="dxa" w:w="1417"/>
            <w:vAlign w:val="center"/>
            <w:shd w:val="clear" w:color="auto" w:fill="F7F7F5"/>
          </w:tcPr>
          <w:p>
            <w:pPr>
              <w:spacing w:line="276" w:lineRule="auto" w:after="0"/>
            </w:pPr>
            <w:r/>
            <w:r>
              <w:rPr>
                <w:rFonts w:ascii="Times New Roman" w:hAnsi="Times New Roman"/>
                <w:b w:val="0"/>
                <w:color w:val="37352F"/>
                <w:sz w:val="20"/>
              </w:rPr>
              <w:t>74.19</w:t>
            </w:r>
          </w:p>
        </w:tc>
        <w:tc>
          <w:tcPr>
            <w:tcW w:type="dxa" w:w="1134"/>
            <w:vAlign w:val="center"/>
            <w:shd w:val="clear" w:color="auto" w:fill="F7F7F5"/>
          </w:tcPr>
          <w:p>
            <w:pPr>
              <w:spacing w:line="276" w:lineRule="auto" w:after="0"/>
            </w:pPr>
            <w:r/>
            <w:r>
              <w:rPr>
                <w:rFonts w:ascii="Times New Roman" w:hAnsi="Times New Roman"/>
                <w:b w:val="0"/>
                <w:color w:val="37352F"/>
                <w:sz w:val="20"/>
              </w:rPr>
              <w:t>-2.59</w:t>
            </w:r>
          </w:p>
        </w:tc>
      </w:tr>
      <w:tr>
        <w:tc>
          <w:tcPr>
            <w:tcW w:type="dxa" w:w="2551"/>
            <w:vAlign w:val="center"/>
          </w:tcPr>
          <w:p>
            <w:pPr>
              <w:spacing w:line="276" w:lineRule="auto" w:after="0"/>
            </w:pPr>
            <w:r/>
            <w:r>
              <w:rPr>
                <w:rFonts w:ascii="Times New Roman" w:hAnsi="Times New Roman"/>
                <w:b w:val="0"/>
                <w:color w:val="37352F"/>
                <w:sz w:val="20"/>
              </w:rPr>
              <w:t>LLaVA-v1.6-Mistral-7B</w:t>
            </w:r>
          </w:p>
        </w:tc>
        <w:tc>
          <w:tcPr>
            <w:tcW w:type="dxa" w:w="1247"/>
            <w:vAlign w:val="center"/>
          </w:tcPr>
          <w:p>
            <w:pPr>
              <w:spacing w:line="276" w:lineRule="auto" w:after="0"/>
            </w:pPr>
            <w:r/>
            <w:r>
              <w:rPr>
                <w:rFonts w:ascii="Times New Roman" w:hAnsi="Times New Roman"/>
                <w:b w:val="0"/>
                <w:color w:val="37352F"/>
                <w:sz w:val="20"/>
              </w:rPr>
              <w:t>Greedy</w:t>
            </w:r>
          </w:p>
        </w:tc>
        <w:tc>
          <w:tcPr>
            <w:tcW w:type="dxa" w:w="1417"/>
            <w:vAlign w:val="center"/>
          </w:tcPr>
          <w:p>
            <w:pPr>
              <w:spacing w:line="276" w:lineRule="auto" w:after="0"/>
            </w:pPr>
            <w:r/>
            <w:r>
              <w:rPr>
                <w:rFonts w:ascii="Times New Roman" w:hAnsi="Times New Roman"/>
                <w:b w:val="0"/>
                <w:color w:val="37352F"/>
                <w:sz w:val="20"/>
              </w:rPr>
              <w:t>86.06</w:t>
            </w:r>
          </w:p>
        </w:tc>
        <w:tc>
          <w:tcPr>
            <w:tcW w:type="dxa" w:w="1417"/>
            <w:vAlign w:val="center"/>
          </w:tcPr>
          <w:p>
            <w:pPr>
              <w:spacing w:line="276" w:lineRule="auto" w:after="0"/>
            </w:pPr>
            <w:r/>
            <w:r>
              <w:rPr>
                <w:rFonts w:ascii="Times New Roman" w:hAnsi="Times New Roman"/>
                <w:b w:val="0"/>
                <w:color w:val="37352F"/>
                <w:sz w:val="20"/>
              </w:rPr>
              <w:t>85.75</w:t>
            </w:r>
          </w:p>
        </w:tc>
        <w:tc>
          <w:tcPr>
            <w:tcW w:type="dxa" w:w="1134"/>
            <w:vAlign w:val="center"/>
          </w:tcPr>
          <w:p>
            <w:pPr>
              <w:spacing w:line="276" w:lineRule="auto" w:after="0"/>
            </w:pPr>
            <w:r/>
            <w:r>
              <w:rPr>
                <w:rFonts w:ascii="Times New Roman" w:hAnsi="Times New Roman"/>
                <w:b w:val="0"/>
                <w:color w:val="37352F"/>
                <w:sz w:val="20"/>
              </w:rPr>
              <w:t>-0.31</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CD+APC</w:t>
            </w:r>
          </w:p>
        </w:tc>
        <w:tc>
          <w:tcPr>
            <w:tcW w:type="dxa" w:w="1417"/>
            <w:vAlign w:val="center"/>
            <w:shd w:val="clear" w:color="auto" w:fill="F7F7F5"/>
          </w:tcPr>
          <w:p>
            <w:pPr>
              <w:spacing w:line="276" w:lineRule="auto" w:after="0"/>
            </w:pPr>
            <w:r/>
            <w:r>
              <w:rPr>
                <w:rFonts w:ascii="Times New Roman" w:hAnsi="Times New Roman"/>
                <w:b w:val="0"/>
                <w:color w:val="37352F"/>
                <w:sz w:val="20"/>
              </w:rPr>
              <w:t>75.64</w:t>
            </w:r>
          </w:p>
        </w:tc>
        <w:tc>
          <w:tcPr>
            <w:tcW w:type="dxa" w:w="1417"/>
            <w:vAlign w:val="center"/>
            <w:shd w:val="clear" w:color="auto" w:fill="F7F7F5"/>
          </w:tcPr>
          <w:p>
            <w:pPr>
              <w:spacing w:line="276" w:lineRule="auto" w:after="0"/>
            </w:pPr>
            <w:r/>
            <w:r>
              <w:rPr>
                <w:rFonts w:ascii="Times New Roman" w:hAnsi="Times New Roman"/>
                <w:b w:val="0"/>
                <w:color w:val="37352F"/>
                <w:sz w:val="20"/>
              </w:rPr>
              <w:t>75.13</w:t>
            </w:r>
          </w:p>
        </w:tc>
        <w:tc>
          <w:tcPr>
            <w:tcW w:type="dxa" w:w="1134"/>
            <w:vAlign w:val="center"/>
            <w:shd w:val="clear" w:color="auto" w:fill="F7F7F5"/>
          </w:tcPr>
          <w:p>
            <w:pPr>
              <w:spacing w:line="276" w:lineRule="auto" w:after="0"/>
            </w:pPr>
            <w:r/>
            <w:r>
              <w:rPr>
                <w:rFonts w:ascii="Times New Roman" w:hAnsi="Times New Roman"/>
                <w:b w:val="0"/>
                <w:color w:val="37352F"/>
                <w:sz w:val="20"/>
              </w:rPr>
              <w:t>-0.51</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EGCD</w:t>
            </w:r>
          </w:p>
        </w:tc>
        <w:tc>
          <w:tcPr>
            <w:tcW w:type="dxa" w:w="1417"/>
            <w:vAlign w:val="center"/>
          </w:tcPr>
          <w:p>
            <w:pPr>
              <w:spacing w:line="276" w:lineRule="auto" w:after="0"/>
            </w:pPr>
            <w:r/>
            <w:r>
              <w:rPr>
                <w:rFonts w:ascii="Times New Roman" w:hAnsi="Times New Roman"/>
                <w:b w:val="0"/>
                <w:color w:val="37352F"/>
                <w:sz w:val="20"/>
              </w:rPr>
              <w:t>86.06</w:t>
            </w:r>
          </w:p>
        </w:tc>
        <w:tc>
          <w:tcPr>
            <w:tcW w:type="dxa" w:w="1417"/>
            <w:vAlign w:val="center"/>
          </w:tcPr>
          <w:p>
            <w:pPr>
              <w:spacing w:line="276" w:lineRule="auto" w:after="0"/>
            </w:pPr>
            <w:r/>
            <w:r>
              <w:rPr>
                <w:rFonts w:ascii="Times New Roman" w:hAnsi="Times New Roman"/>
                <w:b w:val="0"/>
                <w:color w:val="37352F"/>
                <w:sz w:val="20"/>
              </w:rPr>
              <w:t>85.65</w:t>
            </w:r>
          </w:p>
        </w:tc>
        <w:tc>
          <w:tcPr>
            <w:tcW w:type="dxa" w:w="1134"/>
            <w:vAlign w:val="center"/>
          </w:tcPr>
          <w:p>
            <w:pPr>
              <w:spacing w:line="276" w:lineRule="auto" w:after="0"/>
            </w:pPr>
            <w:r/>
            <w:r>
              <w:rPr>
                <w:rFonts w:ascii="Times New Roman" w:hAnsi="Times New Roman"/>
                <w:b w:val="0"/>
                <w:color w:val="37352F"/>
                <w:sz w:val="20"/>
              </w:rPr>
              <w:t>-0.41</w:t>
            </w:r>
          </w:p>
        </w:tc>
      </w:tr>
      <w:tr>
        <w:tc>
          <w:tcPr>
            <w:tcW w:type="dxa" w:w="2551"/>
            <w:vAlign w:val="center"/>
            <w:shd w:val="clear" w:color="auto" w:fill="F7F7F5"/>
          </w:tcPr>
          <w:p>
            <w:pPr>
              <w:spacing w:line="276" w:lineRule="auto" w:after="0"/>
            </w:pPr>
            <w:r/>
            <w:r>
              <w:rPr>
                <w:rFonts w:ascii="Times New Roman" w:hAnsi="Times New Roman"/>
                <w:b w:val="0"/>
                <w:color w:val="37352F"/>
                <w:sz w:val="20"/>
              </w:rPr>
            </w:r>
          </w:p>
        </w:tc>
        <w:tc>
          <w:tcPr>
            <w:tcW w:type="dxa" w:w="1247"/>
            <w:vAlign w:val="center"/>
            <w:shd w:val="clear" w:color="auto" w:fill="F7F7F5"/>
          </w:tcPr>
          <w:p>
            <w:pPr>
              <w:spacing w:line="276" w:lineRule="auto" w:after="0"/>
            </w:pPr>
            <w:r/>
            <w:r>
              <w:rPr>
                <w:rFonts w:ascii="Times New Roman" w:hAnsi="Times New Roman"/>
                <w:b w:val="0"/>
                <w:color w:val="37352F"/>
                <w:sz w:val="20"/>
              </w:rPr>
              <w:t>VCD</w:t>
            </w:r>
          </w:p>
        </w:tc>
        <w:tc>
          <w:tcPr>
            <w:tcW w:type="dxa" w:w="1417"/>
            <w:vAlign w:val="center"/>
            <w:shd w:val="clear" w:color="auto" w:fill="F7F7F5"/>
          </w:tcPr>
          <w:p>
            <w:pPr>
              <w:spacing w:line="276" w:lineRule="auto" w:after="0"/>
            </w:pPr>
            <w:r/>
            <w:r>
              <w:rPr>
                <w:rFonts w:ascii="Times New Roman" w:hAnsi="Times New Roman"/>
                <w:b w:val="0"/>
                <w:color w:val="37352F"/>
                <w:sz w:val="20"/>
              </w:rPr>
              <w:t>83.57</w:t>
            </w:r>
          </w:p>
        </w:tc>
        <w:tc>
          <w:tcPr>
            <w:tcW w:type="dxa" w:w="1417"/>
            <w:vAlign w:val="center"/>
            <w:shd w:val="clear" w:color="auto" w:fill="F7F7F5"/>
          </w:tcPr>
          <w:p>
            <w:pPr>
              <w:spacing w:line="276" w:lineRule="auto" w:after="0"/>
            </w:pPr>
            <w:r/>
            <w:r>
              <w:rPr>
                <w:rFonts w:ascii="Times New Roman" w:hAnsi="Times New Roman"/>
                <w:b w:val="0"/>
                <w:color w:val="37352F"/>
                <w:sz w:val="20"/>
              </w:rPr>
              <w:t>83.47</w:t>
            </w:r>
          </w:p>
        </w:tc>
        <w:tc>
          <w:tcPr>
            <w:tcW w:type="dxa" w:w="1134"/>
            <w:vAlign w:val="center"/>
            <w:shd w:val="clear" w:color="auto" w:fill="F7F7F5"/>
          </w:tcPr>
          <w:p>
            <w:pPr>
              <w:spacing w:line="276" w:lineRule="auto" w:after="0"/>
            </w:pPr>
            <w:r/>
            <w:r>
              <w:rPr>
                <w:rFonts w:ascii="Times New Roman" w:hAnsi="Times New Roman"/>
                <w:b w:val="0"/>
                <w:color w:val="37352F"/>
                <w:sz w:val="20"/>
              </w:rPr>
              <w:t>-0.10</w:t>
            </w:r>
          </w:p>
        </w:tc>
      </w:tr>
      <w:tr>
        <w:tc>
          <w:tcPr>
            <w:tcW w:type="dxa" w:w="2551"/>
            <w:vAlign w:val="center"/>
          </w:tcPr>
          <w:p>
            <w:pPr>
              <w:spacing w:line="276" w:lineRule="auto" w:after="0"/>
            </w:pPr>
            <w:r/>
            <w:r>
              <w:rPr>
                <w:rFonts w:ascii="Times New Roman" w:hAnsi="Times New Roman"/>
                <w:b w:val="0"/>
                <w:color w:val="37352F"/>
                <w:sz w:val="20"/>
              </w:rPr>
            </w:r>
          </w:p>
        </w:tc>
        <w:tc>
          <w:tcPr>
            <w:tcW w:type="dxa" w:w="1247"/>
            <w:vAlign w:val="center"/>
          </w:tcPr>
          <w:p>
            <w:pPr>
              <w:spacing w:line="276" w:lineRule="auto" w:after="0"/>
            </w:pPr>
            <w:r/>
            <w:r>
              <w:rPr>
                <w:rFonts w:ascii="Times New Roman" w:hAnsi="Times New Roman"/>
                <w:b w:val="0"/>
                <w:color w:val="37352F"/>
                <w:sz w:val="20"/>
              </w:rPr>
              <w:t>SID</w:t>
            </w:r>
          </w:p>
        </w:tc>
        <w:tc>
          <w:tcPr>
            <w:tcW w:type="dxa" w:w="1417"/>
            <w:vAlign w:val="center"/>
          </w:tcPr>
          <w:p>
            <w:pPr>
              <w:spacing w:line="276" w:lineRule="auto" w:after="0"/>
            </w:pPr>
            <w:r/>
            <w:r>
              <w:rPr>
                <w:rFonts w:ascii="Times New Roman" w:hAnsi="Times New Roman"/>
                <w:b w:val="0"/>
                <w:color w:val="37352F"/>
                <w:sz w:val="20"/>
              </w:rPr>
              <w:t>86.06</w:t>
            </w:r>
          </w:p>
        </w:tc>
        <w:tc>
          <w:tcPr>
            <w:tcW w:type="dxa" w:w="1417"/>
            <w:vAlign w:val="center"/>
          </w:tcPr>
          <w:p>
            <w:pPr>
              <w:spacing w:line="276" w:lineRule="auto" w:after="0"/>
            </w:pPr>
            <w:r/>
            <w:r>
              <w:rPr>
                <w:rFonts w:ascii="Times New Roman" w:hAnsi="Times New Roman"/>
                <w:b w:val="0"/>
                <w:color w:val="37352F"/>
                <w:sz w:val="20"/>
              </w:rPr>
              <w:t>85.75</w:t>
            </w:r>
          </w:p>
        </w:tc>
        <w:tc>
          <w:tcPr>
            <w:tcW w:type="dxa" w:w="1134"/>
            <w:vAlign w:val="center"/>
          </w:tcPr>
          <w:p>
            <w:pPr>
              <w:spacing w:line="276" w:lineRule="auto" w:after="0"/>
            </w:pPr>
            <w:r/>
            <w:r>
              <w:rPr>
                <w:rFonts w:ascii="Times New Roman" w:hAnsi="Times New Roman"/>
                <w:b w:val="0"/>
                <w:color w:val="37352F"/>
                <w:sz w:val="20"/>
              </w:rPr>
              <w:t>-0.31</w:t>
            </w:r>
          </w:p>
        </w:tc>
      </w:tr>
    </w:tbl>
    <w:p>
      <w:pPr>
        <w:spacing w:line="312" w:lineRule="auto" w:after="80"/>
        <w:ind w:firstLine="482"/>
        <w:jc w:val="both"/>
      </w:pPr>
      <w:r>
        <w:rPr>
          <w:rFonts w:ascii="Times New Roman" w:hAnsi="Times New Roman"/>
          <w:color w:val="37352F"/>
          <w:sz w:val="24"/>
        </w:rPr>
      </w:r>
    </w:p>
    <w:p>
      <w:pPr>
        <w:spacing w:line="312" w:lineRule="auto" w:after="80"/>
        <w:ind w:firstLine="482"/>
        <w:jc w:val="both"/>
      </w:pPr>
      <w:r>
        <w:rPr>
          <w:rFonts w:ascii="Times New Roman" w:hAnsi="Times New Roman"/>
          <w:b/>
          <w:color w:val="37352F"/>
          <w:sz w:val="24"/>
        </w:rPr>
        <w:t>Key observations:</w:t>
      </w:r>
    </w:p>
    <w:p>
      <w:pPr>
        <w:pStyle w:val="ListBullet"/>
        <w:spacing w:line="312" w:lineRule="auto" w:after="40"/>
        <w:ind w:left="567"/>
      </w:pPr>
      <w:r>
        <w:rPr>
          <w:rFonts w:ascii="Times New Roman" w:hAnsi="Times New Roman"/>
          <w:color w:val="37352F"/>
          <w:sz w:val="24"/>
        </w:rPr>
        <w:t>Qwen2-VL-2B: EGCD gain over greedy moved from +9.39 to +9.74 (STRONGER by 0.35 pp). The headline number is essentially unchanged.</w:t>
      </w:r>
    </w:p>
    <w:p>
      <w:pPr>
        <w:pStyle w:val="ListBullet"/>
        <w:spacing w:line="312" w:lineRule="auto" w:after="40"/>
        <w:ind w:left="567"/>
      </w:pPr>
      <w:r>
        <w:rPr>
          <w:rFonts w:ascii="Times New Roman" w:hAnsi="Times New Roman"/>
          <w:color w:val="37352F"/>
          <w:sz w:val="24"/>
        </w:rPr>
        <w:t>Phi-3-Vision-4.2B: EGCD gain moved from +7.32 to +8.06 (STRONGER by 0.74 pp). The selected τ* shifted from 0.62 to 0.57.</w:t>
      </w:r>
    </w:p>
    <w:p>
      <w:pPr>
        <w:pStyle w:val="ListBullet"/>
        <w:spacing w:line="312" w:lineRule="auto" w:after="40"/>
        <w:ind w:left="567"/>
      </w:pPr>
      <w:r>
        <w:rPr>
          <w:rFonts w:ascii="Times New Roman" w:hAnsi="Times New Roman"/>
          <w:color w:val="37352F"/>
          <w:sz w:val="24"/>
        </w:rPr>
        <w:t>SmolVLM2-2.2B: EGCD gain moved from +4.27 to +3.82 (WEAKER by 0.45 pp). VCD on SmolVLM2 dropped from 70.72 to 67.76, weakening the old claim that VCD is the strongest single method on SmolVLM2.</w:t>
      </w:r>
    </w:p>
    <w:p>
      <w:pPr>
        <w:pStyle w:val="ListBullet"/>
        <w:spacing w:line="312" w:lineRule="auto" w:after="40"/>
        <w:ind w:left="567"/>
      </w:pPr>
      <w:r>
        <w:rPr>
          <w:rFonts w:ascii="Times New Roman" w:hAnsi="Times New Roman"/>
          <w:color w:val="37352F"/>
          <w:sz w:val="24"/>
        </w:rPr>
        <w:t>Qwen2.5-VL-7B: EGCD gain moved from +1.92 to +2.03 (essentially unchanged). The selected τ* shifted from 0.65 to 0.64.</w:t>
      </w:r>
    </w:p>
    <w:p>
      <w:pPr>
        <w:pStyle w:val="ListBullet"/>
        <w:spacing w:line="312" w:lineRule="auto" w:after="40"/>
        <w:ind w:left="567"/>
      </w:pPr>
      <w:r>
        <w:rPr>
          <w:rFonts w:ascii="Times New Roman" w:hAnsi="Times New Roman"/>
          <w:color w:val="37352F"/>
          <w:sz w:val="24"/>
        </w:rPr>
        <w:t>Idefics2-8B: EGCD gain moved from +0.04 to -0.25 (essentially zero — gate barely fires on this model). The old paper claimed EGCD &gt; Greedy by 0.04; the new number is EGCD &lt; Greedy by 0.25. This is within noise but should be reported honestly.</w:t>
      </w:r>
    </w:p>
    <w:p>
      <w:pPr>
        <w:pStyle w:val="ListBullet"/>
        <w:spacing w:line="312" w:lineRule="auto" w:after="40"/>
        <w:ind w:left="567"/>
      </w:pPr>
      <w:r>
        <w:rPr>
          <w:rFonts w:ascii="Times New Roman" w:hAnsi="Times New Roman"/>
          <w:color w:val="37352F"/>
          <w:sz w:val="24"/>
        </w:rPr>
        <w:t>LLaVA-1.5-7B: EGCD gain remained +0.00 (gate stays completely idle). The EGCD = Greedy exactly because no query crosses τ* = 0.70.</w:t>
      </w:r>
    </w:p>
    <w:p>
      <w:pPr>
        <w:pStyle w:val="ListBullet"/>
        <w:spacing w:line="312" w:lineRule="auto" w:after="40"/>
        <w:ind w:left="567"/>
      </w:pPr>
      <w:r>
        <w:rPr>
          <w:rFonts w:ascii="Times New Roman" w:hAnsi="Times New Roman"/>
          <w:color w:val="37352F"/>
          <w:sz w:val="24"/>
        </w:rPr>
        <w:t>LLaVA-v1.6-Mistral-7B: EGCD moved from +0.00 to -0.10 (gate stays essentially idle, with one or two queries routed). The old paper's claim that EGCD = Greedy exactly is no longer strictly true but the deviation is within ±0.1 pp.</w:t>
      </w:r>
    </w:p>
    <w:p>
      <w:pPr>
        <w:keepNext/>
        <w:spacing w:before="360" w:after="120"/>
      </w:pPr>
      <w:r>
        <w:rPr>
          <w:rFonts w:ascii="Times New Roman" w:hAnsi="Times New Roman"/>
          <w:b/>
          <w:color w:val="1B2A4A"/>
          <w:sz w:val="32"/>
        </w:rPr>
        <w:t>5. Required Paper Changes (numbered, actionable)</w:t>
      </w:r>
    </w:p>
    <w:p>
      <w:pPr>
        <w:keepNext/>
        <w:spacing w:before="240" w:after="120"/>
      </w:pPr>
      <w:r>
        <w:rPr>
          <w:rFonts w:ascii="Times New Roman" w:hAnsi="Times New Roman"/>
          <w:b/>
          <w:color w:val="1B2A4A"/>
          <w:sz w:val="28"/>
        </w:rPr>
        <w:t>5.1 Numbers to update in the main text</w:t>
      </w:r>
    </w:p>
    <w:p>
      <w:pPr>
        <w:spacing w:line="312" w:lineRule="auto" w:after="80"/>
        <w:ind w:left="283"/>
      </w:pPr>
      <w:r>
        <w:rPr>
          <w:rFonts w:ascii="Times New Roman" w:hAnsi="Times New Roman"/>
          <w:b/>
          <w:color w:val="1B2A4A"/>
          <w:sz w:val="24"/>
        </w:rPr>
        <w:t xml:space="preserve">1. Abstract: </w:t>
      </w:r>
      <w:r>
        <w:rPr>
          <w:rFonts w:ascii="Times New Roman" w:hAnsi="Times New Roman"/>
          <w:color w:val="37352F"/>
          <w:sz w:val="24"/>
        </w:rPr>
        <w:t>Update the three headline numbers: "Qwen2-VL-2B from 71.50% to 80.89%" → "Qwen2-VL-2B from 70.71% to 80.45%"; "Phi-3-Vision-4.2B from 70.18% to 77.50%" → "Phi-3-Vision-4.2B from 69.05% to 77.11%"; "SmolVLM2-2.2B from 63.80% to 68.07%" → "SmolVLM2-2.2B from 63.51% to 67.33%". The claim about LLaVA models "where universal contrastive decoding collapses balanced accuracy to 63.06%" stays valid (new CD+APC on LLaVA-1.5 = 65.09, close to the old 63.06).</w:t>
      </w:r>
    </w:p>
    <w:p>
      <w:pPr>
        <w:spacing w:line="312" w:lineRule="auto" w:after="80"/>
        <w:ind w:left="283"/>
      </w:pPr>
      <w:r>
        <w:rPr>
          <w:rFonts w:ascii="Times New Roman" w:hAnsi="Times New Roman"/>
          <w:b/>
          <w:color w:val="1B2A4A"/>
          <w:sz w:val="24"/>
        </w:rPr>
        <w:t xml:space="preserve">2. Section 4.1: </w:t>
      </w:r>
      <w:r>
        <w:rPr>
          <w:rFonts w:ascii="Times New Roman" w:hAnsi="Times New Roman"/>
          <w:color w:val="37352F"/>
          <w:sz w:val="24"/>
        </w:rPr>
        <w:t>Update the split description: "We split the 1,664 relation pairs into a tuning half (831 pairs) and a held-out half (833 pairs)" → "We split the 1,664 relation pairs into a tuning half (822 pairs) and a held-out half (842 pairs) using a canonical partition stratified by image id (seed=42), so that multi-query images never leak between partitions. The split is identical across all seven models and is released alongside the code."</w:t>
      </w:r>
    </w:p>
    <w:p>
      <w:pPr>
        <w:spacing w:line="312" w:lineRule="auto" w:after="80"/>
        <w:ind w:left="283"/>
      </w:pPr>
      <w:r>
        <w:rPr>
          <w:rFonts w:ascii="Times New Roman" w:hAnsi="Times New Roman"/>
          <w:b/>
          <w:color w:val="1B2A4A"/>
          <w:sz w:val="24"/>
        </w:rPr>
        <w:t xml:space="preserve">3. Section 4.4: </w:t>
      </w:r>
      <w:r>
        <w:rPr>
          <w:rFonts w:ascii="Times New Roman" w:hAnsi="Times New Roman"/>
          <w:color w:val="37352F"/>
          <w:sz w:val="24"/>
        </w:rPr>
        <w:t>Update the selected τ* list: "τ* = 0.70, 0.62, 0.68, 0.65, 0.69, 0.70, 0.71" → "τ* = 0.70, 0.57, 0.68, 0.64, 0.66, 0.70, 0.70".</w:t>
      </w:r>
    </w:p>
    <w:p>
      <w:pPr>
        <w:spacing w:line="312" w:lineRule="auto" w:after="80"/>
        <w:ind w:left="283"/>
      </w:pPr>
      <w:r>
        <w:rPr>
          <w:rFonts w:ascii="Times New Roman" w:hAnsi="Times New Roman"/>
          <w:b/>
          <w:color w:val="1B2A4A"/>
          <w:sz w:val="24"/>
        </w:rPr>
        <w:t xml:space="preserve">4. Section 5.1: </w:t>
      </w:r>
      <w:r>
        <w:rPr>
          <w:rFonts w:ascii="Times New Roman" w:hAnsi="Times New Roman"/>
          <w:color w:val="37352F"/>
          <w:sz w:val="24"/>
        </w:rPr>
        <w:t>Replace Table 1 with the new Table 1 from Section 2 of this document. Replace the McNemar paragraph with the text from Section 3 of this document.</w:t>
      </w:r>
    </w:p>
    <w:p>
      <w:pPr>
        <w:spacing w:line="312" w:lineRule="auto" w:after="80"/>
        <w:ind w:left="283"/>
      </w:pPr>
      <w:r>
        <w:rPr>
          <w:rFonts w:ascii="Times New Roman" w:hAnsi="Times New Roman"/>
          <w:b/>
          <w:color w:val="1B2A4A"/>
          <w:sz w:val="24"/>
        </w:rPr>
        <w:t xml:space="preserve">5. Section 5.2: </w:t>
      </w:r>
      <w:r>
        <w:rPr>
          <w:rFonts w:ascii="Times New Roman" w:hAnsi="Times New Roman"/>
          <w:color w:val="37352F"/>
          <w:sz w:val="24"/>
        </w:rPr>
        <w:t>Update the recall/specificity trade-off numbers: "On Qwen2-VL-2B, Recall climbs to 76.43%, but Specificity falls from 93.62% to 79.13%" → "On Qwen2-VL-2B, Recall climbs to 74.95%, but Specificity falls from 94.43% to 79.67%". Update "Qwen2-VL-2B reaches 80.89% balanced accuracy, with Recall at 75.41% and Specificity at 86.38%" → "Qwen2-VL-2B reaches 80.45% balanced accuracy, with Recall at 72.88% and Specificity at 88.02%". Also: "Recall ends up about a point short of universal CD (76.43%)" → "Recall ends up about two points short of universal CD (74.95%)".</w:t>
      </w:r>
    </w:p>
    <w:p>
      <w:pPr>
        <w:spacing w:line="312" w:lineRule="auto" w:after="80"/>
        <w:ind w:left="283"/>
      </w:pPr>
      <w:r>
        <w:rPr>
          <w:rFonts w:ascii="Times New Roman" w:hAnsi="Times New Roman"/>
          <w:b/>
          <w:color w:val="1B2A4A"/>
          <w:sz w:val="24"/>
        </w:rPr>
        <w:t xml:space="preserve">6. Section 5.2: </w:t>
      </w:r>
      <w:r>
        <w:rPr>
          <w:rFonts w:ascii="Times New Roman" w:hAnsi="Times New Roman"/>
          <w:color w:val="37352F"/>
          <w:sz w:val="24"/>
        </w:rPr>
        <w:t>Update SmolVLM2 numbers: "SmolVLM2 peaks at its threshold with 68.07%" → "SmolVLM2 peaks at its threshold with 67.33%".</w:t>
      </w:r>
    </w:p>
    <w:p>
      <w:pPr>
        <w:spacing w:line="312" w:lineRule="auto" w:after="80"/>
        <w:ind w:left="283"/>
      </w:pPr>
      <w:r>
        <w:rPr>
          <w:rFonts w:ascii="Times New Roman" w:hAnsi="Times New Roman"/>
          <w:b/>
          <w:color w:val="1B2A4A"/>
          <w:sz w:val="24"/>
        </w:rPr>
        <w:t xml:space="preserve">7. Section 5.3: </w:t>
      </w:r>
      <w:r>
        <w:rPr>
          <w:rFonts w:ascii="Times New Roman" w:hAnsi="Times New Roman"/>
          <w:color w:val="37352F"/>
          <w:sz w:val="24"/>
        </w:rPr>
        <w:t>Update LLaVA-1.5 collapse number: "balanced accuracy falls to 63.06% with Recall dropping to 29.30%" → "balanced accuracy falls to 65.09% with Recall dropping to 35.20%". Update LLaVA-v1.6: "drops by 10.42 points" → "drops by 10.62 points".</w:t>
      </w:r>
    </w:p>
    <w:p>
      <w:pPr>
        <w:spacing w:line="312" w:lineRule="auto" w:after="80"/>
        <w:ind w:left="283"/>
      </w:pPr>
      <w:r>
        <w:rPr>
          <w:rFonts w:ascii="Times New Roman" w:hAnsi="Times New Roman"/>
          <w:b/>
          <w:color w:val="1B2A4A"/>
          <w:sz w:val="24"/>
        </w:rPr>
        <w:t xml:space="preserve">8. Section 5.3: </w:t>
      </w:r>
      <w:r>
        <w:rPr>
          <w:rFonts w:ascii="Times New Roman" w:hAnsi="Times New Roman"/>
          <w:color w:val="37352F"/>
          <w:sz w:val="24"/>
        </w:rPr>
        <w:t>Update the idle-gate claim: "EGCD preserves 76.78% on LLaVA-1.5-7B and 86.06% on LLaVA-v1.6-Mistral-7B, identical to greedy decoding" → "EGCD preserves 75.11% on LLaVA-1.5-7B and 85.65% on LLaVA-v1.6-Mistral-7B, matching greedy decoding within 0.1 percentage points (the gate routes at most one or two queries at τ*)."</w:t>
      </w:r>
    </w:p>
    <w:p>
      <w:pPr>
        <w:spacing w:line="312" w:lineRule="auto" w:after="80"/>
        <w:ind w:left="283"/>
      </w:pPr>
      <w:r>
        <w:rPr>
          <w:rFonts w:ascii="Times New Roman" w:hAnsi="Times New Roman"/>
          <w:b/>
          <w:color w:val="1B2A4A"/>
          <w:sz w:val="24"/>
        </w:rPr>
        <w:t xml:space="preserve">9. Section 5.3: </w:t>
      </w:r>
      <w:r>
        <w:rPr>
          <w:rFonts w:ascii="Times New Roman" w:hAnsi="Times New Roman"/>
          <w:color w:val="37352F"/>
          <w:sz w:val="24"/>
        </w:rPr>
        <w:t>Update the McNemar claim: "Idefics2-8B does not differ from either regime (p &gt; 0.99)" → "Idefics2-8B does not differ from either regime (p = 0.07, exact paired McNemar)".</w:t>
      </w:r>
    </w:p>
    <w:p>
      <w:pPr>
        <w:spacing w:line="312" w:lineRule="auto" w:after="80"/>
        <w:ind w:left="283"/>
      </w:pPr>
      <w:r>
        <w:rPr>
          <w:rFonts w:ascii="Times New Roman" w:hAnsi="Times New Roman"/>
          <w:b/>
          <w:color w:val="1B2A4A"/>
          <w:sz w:val="24"/>
        </w:rPr>
        <w:t xml:space="preserve">10. Section 5.4: </w:t>
      </w:r>
      <w:r>
        <w:rPr>
          <w:rFonts w:ascii="Times New Roman" w:hAnsi="Times New Roman"/>
          <w:color w:val="37352F"/>
          <w:sz w:val="24"/>
        </w:rPr>
        <w:t>Update routing fractions: "The gate routes 40.9% of held-out queries on Qwen2-VL-2B, 38.8% on Phi-3-Vision-4.2B, 28.2% on SmolVLM2-2.2B, 13.2% on Qwen2.5-VL-7B, 2.2% on Idefics2-8B and none on LLaVA-1.5-7B or LLaVA-v1.6-Mistral-7B" → use the new Routing_Fraction sheet from the Excel file.</w:t>
      </w:r>
    </w:p>
    <w:p>
      <w:pPr>
        <w:spacing w:line="312" w:lineRule="auto" w:after="80"/>
        <w:ind w:left="283"/>
      </w:pPr>
      <w:r>
        <w:rPr>
          <w:rFonts w:ascii="Times New Roman" w:hAnsi="Times New Roman"/>
          <w:b/>
          <w:color w:val="1B2A4A"/>
          <w:sz w:val="24"/>
        </w:rPr>
        <w:t xml:space="preserve">11. Section 6.1: </w:t>
      </w:r>
      <w:r>
        <w:rPr>
          <w:rFonts w:ascii="Times New Roman" w:hAnsi="Times New Roman"/>
          <w:color w:val="37352F"/>
          <w:sz w:val="24"/>
        </w:rPr>
        <w:t>Update the conclusion summary: "Qwen2-VL-2B by 9.39 points and Phi-3-Vision-4.2B by 7.32" → "Qwen2-VL-2B by 9.74 points and Phi-3-Vision-4.2B by 8.06". Update "universal CD had pushed LLaVA-1.5-7B down to 63.06%, while EGCD handed back its 76.78% baseline unchanged" → "universal CD had pushed LLaVA-1.5-7B down to 65.09%, while EGCD handed back its 75.11% baseline essentially unchanged".</w:t>
      </w:r>
    </w:p>
    <w:p>
      <w:pPr>
        <w:spacing w:line="312" w:lineRule="auto" w:after="80"/>
        <w:ind w:left="283"/>
      </w:pPr>
      <w:r>
        <w:rPr>
          <w:rFonts w:ascii="Times New Roman" w:hAnsi="Times New Roman"/>
          <w:b/>
          <w:color w:val="1B2A4A"/>
          <w:sz w:val="24"/>
        </w:rPr>
        <w:t xml:space="preserve">12. Appendix Table A1: </w:t>
      </w:r>
      <w:r>
        <w:rPr>
          <w:rFonts w:ascii="Times New Roman" w:hAnsi="Times New Roman"/>
          <w:color w:val="37352F"/>
          <w:sz w:val="24"/>
        </w:rPr>
        <w:t>Replace the entire tuning-half sweep table with the new 7-model × 21-threshold grid from the Tuning_Sweep sheet of the consolidated Excel file.</w:t>
      </w:r>
    </w:p>
    <w:p>
      <w:pPr>
        <w:keepNext/>
        <w:spacing w:before="240" w:after="120"/>
      </w:pPr>
      <w:r>
        <w:rPr>
          <w:rFonts w:ascii="Times New Roman" w:hAnsi="Times New Roman"/>
          <w:b/>
          <w:color w:val="1B2A4A"/>
          <w:sz w:val="28"/>
        </w:rPr>
        <w:t>5.2 Claims to soften</w:t>
      </w:r>
    </w:p>
    <w:p>
      <w:pPr>
        <w:pStyle w:val="ListBullet"/>
        <w:spacing w:line="312" w:lineRule="auto" w:after="40"/>
        <w:ind w:left="567"/>
      </w:pPr>
      <w:r>
        <w:rPr>
          <w:rFonts w:ascii="Times New Roman" w:hAnsi="Times New Roman"/>
          <w:color w:val="37352F"/>
          <w:sz w:val="24"/>
        </w:rPr>
        <w:t>"Only a method that restores visual grounding moves both terms at once" (Section 4.3) — REMOVE. As the reviewer noted, neither simultaneous improvement nor balanced-accuracy gain is a causal test of visual grounding. Replace with: "Recall and specificity together measure the bias profile of a method; neither simultaneous improvement nor balanced-accuracy gain is a causal test of visual grounding."</w:t>
      </w:r>
    </w:p>
    <w:p>
      <w:pPr>
        <w:pStyle w:val="ListBullet"/>
        <w:spacing w:line="312" w:lineRule="auto" w:after="40"/>
        <w:ind w:left="567"/>
      </w:pPr>
      <w:r>
        <w:rPr>
          <w:rFonts w:ascii="Times New Roman" w:hAnsi="Times New Roman"/>
          <w:color w:val="37352F"/>
          <w:sz w:val="24"/>
        </w:rPr>
        <w:t>"Identifying or resolving Visual Inertia" (Abstract, Sections 1, 5.2, 6.1) — REFRAME as hypothesis. The first-token entropy AUC 0.62-0.75 is an error-prediction result, not a mechanism test. Replace "We target this mechanism, Visual Inertia" with "We hypothesise that Visual Inertia [16] underlies these errors, and design EGCD to intervene at the decoding-time decision point where it would manifest if present."</w:t>
      </w:r>
    </w:p>
    <w:p>
      <w:pPr>
        <w:pStyle w:val="ListBullet"/>
        <w:spacing w:line="312" w:lineRule="auto" w:after="40"/>
        <w:ind w:left="567"/>
      </w:pPr>
      <w:r>
        <w:rPr>
          <w:rFonts w:ascii="Times New Roman" w:hAnsi="Times New Roman"/>
          <w:color w:val="37352F"/>
          <w:sz w:val="24"/>
        </w:rPr>
        <w:t>"EGCD matches universal CD+APC wherever that method helps" (Section 5.1) — REMOVE. Qwen2.5-VL reports 80.98% (EGCD) vs 81.55% (CD+APC), not equality. Replace with: "EGCD tracks universal CD+APC within 0.6 percentage points on every model where CD+APC helps, while avoiding the catastrophic collapses on the LLaVA models."</w:t>
      </w:r>
    </w:p>
    <w:p>
      <w:pPr>
        <w:pStyle w:val="ListBullet"/>
        <w:spacing w:line="312" w:lineRule="auto" w:after="40"/>
        <w:ind w:left="567"/>
      </w:pPr>
      <w:r>
        <w:rPr>
          <w:rFonts w:ascii="Times New Roman" w:hAnsi="Times New Roman"/>
          <w:color w:val="37352F"/>
          <w:sz w:val="24"/>
        </w:rPr>
        <w:t>"without the specificity loss that universal CD leaves behind" (Section 6.1) — QUALIFY. EGCD still sacrifices specificity relative to greedy decoding (Qwen2-VL: 94.43 → 88.02; Phi-3: 91.92 → 81.34). Replace with: "EGCD reduces the specificity cost relative to universal CD, while still sacrificing some specificity relative to greedy decoding."</w:t>
      </w:r>
    </w:p>
    <w:p>
      <w:pPr>
        <w:pStyle w:val="ListBullet"/>
        <w:spacing w:line="312" w:lineRule="auto" w:after="40"/>
        <w:ind w:left="567"/>
      </w:pPr>
      <w:r>
        <w:rPr>
          <w:rFonts w:ascii="Times New Roman" w:hAnsi="Times New Roman"/>
          <w:color w:val="37352F"/>
          <w:sz w:val="24"/>
        </w:rPr>
        <w:t>"tracks the greedy baseline everywhere" (Figure 6 caption) — REPLACE. The LLaVA-1.5 tuning-half curve rises from a low-τ plateau to the baseline only at τ = 0.70. Replace with: "recovers the greedy baseline at sufficiently high thresholds for the two LLaVA models".</w:t>
      </w:r>
    </w:p>
    <w:p>
      <w:pPr>
        <w:keepNext/>
        <w:spacing w:before="240" w:after="120"/>
      </w:pPr>
      <w:r>
        <w:rPr>
          <w:rFonts w:ascii="Times New Roman" w:hAnsi="Times New Roman"/>
          <w:b/>
          <w:color w:val="1B2A4A"/>
          <w:sz w:val="28"/>
        </w:rPr>
        <w:t>5.3 Implementation/notation fixes (carry over from reviewer)</w:t>
      </w:r>
    </w:p>
    <w:p>
      <w:pPr>
        <w:pStyle w:val="ListBullet"/>
        <w:spacing w:line="312" w:lineRule="auto" w:after="40"/>
        <w:ind w:left="567"/>
      </w:pPr>
      <w:r>
        <w:rPr>
          <w:rFonts w:ascii="Times New Roman" w:hAnsi="Times New Roman"/>
          <w:color w:val="37352F"/>
          <w:sz w:val="24"/>
        </w:rPr>
        <w:t>Equation (2): Add "H(Y₁) is the unnormalised full-vocabulary Shannon entropy in nats, computed from unscaled logits before greedy selection." The Yes/No binary explanation in Figure 1 must be replaced — with binary entropy the maximum is log 2 ≈ 0.693, so thresholds 0.70/0.71 would be unreachable.</w:t>
      </w:r>
    </w:p>
    <w:p>
      <w:pPr>
        <w:pStyle w:val="ListBullet"/>
        <w:spacing w:line="312" w:lineRule="auto" w:after="40"/>
        <w:ind w:left="567"/>
      </w:pPr>
      <w:r>
        <w:rPr>
          <w:rFonts w:ascii="Times New Roman" w:hAnsi="Times New Roman"/>
          <w:color w:val="37352F"/>
          <w:sz w:val="24"/>
        </w:rPr>
        <w:t>Equations (1), (4), (5): Fix the bound-variable notation. Equation (4) currently binds y but tests Pstd(yₜ); the maximum similarly binds w but evaluates wₜ. Use the reviewer's suggested re-write with V_head = {y ∈ V : Pstd(y) ≥ β max_w Pstd(w)} and explicit 0 &lt; β ≤ 1, α ≥ 0.</w:t>
      </w:r>
    </w:p>
    <w:p>
      <w:pPr>
        <w:pStyle w:val="ListBullet"/>
        <w:spacing w:line="312" w:lineRule="auto" w:after="40"/>
        <w:ind w:left="567"/>
      </w:pPr>
      <w:r>
        <w:rPr>
          <w:rFonts w:ascii="Times New Roman" w:hAnsi="Times New Roman"/>
          <w:color w:val="37352F"/>
          <w:sz w:val="24"/>
        </w:rPr>
        <w:t>Algorithm 1: Complete the pseudocode. (i) Initialise a shared generated prefix. (ii) Append each selected token to it. (iii) Check EOS in BOTH branches (currently only System 2 checks). (iv) Return the shared prefix. (v) Feed the same selected prefix to both System 2 streams but maintain distinct caches. (vi) Reuse the initial expert logits for the first token rather than recomputing them.</w:t>
      </w:r>
    </w:p>
    <w:p>
      <w:pPr>
        <w:pStyle w:val="ListBullet"/>
        <w:spacing w:line="312" w:lineRule="auto" w:after="40"/>
        <w:ind w:left="567"/>
      </w:pPr>
      <w:r>
        <w:rPr>
          <w:rFonts w:ascii="Times New Roman" w:hAnsi="Times New Roman"/>
          <w:color w:val="37352F"/>
          <w:sz w:val="24"/>
        </w:rPr>
        <w:t>SID baseline (Section 2.2, 4.4, 5.1): The implementation in vcd_code/ performs DoLa-style layer-logit contrast (hook on layers[3], project through LM head). The cited Self-Introspective Decoding (Huo et al. 2025) instead uses Context-and-Text-aware Token Selection (CT²S). Either rename the column to "LLC (layer-logit contrast)" and stop citing huo2025self, OR implement the real CT²S method. Renaming is strongly recommended — implementing CT²S properly is a separate paper's worth of work.</w:t>
      </w:r>
    </w:p>
    <w:p>
      <w:pPr>
        <w:pStyle w:val="ListBullet"/>
        <w:spacing w:line="312" w:lineRule="auto" w:after="40"/>
        <w:ind w:left="567"/>
      </w:pPr>
      <w:r>
        <w:rPr>
          <w:rFonts w:ascii="Times New Roman" w:hAnsi="Times New Roman"/>
          <w:color w:val="37352F"/>
          <w:sz w:val="24"/>
        </w:rPr>
        <w:t>Section 4.4 "zero-shot" framing: Replace "All runs are zero-shot, half-precision, greedy decoding" with "All runs use zero-shot prompting with supervised threshold calibration on a disjoint tuning split; weights are frozen, half-precision, greedy decoding." Explicitly state the calibration is not training-free in the strict sense.</w:t>
      </w:r>
    </w:p>
    <w:p>
      <w:pPr>
        <w:pStyle w:val="ListBullet"/>
        <w:spacing w:line="312" w:lineRule="auto" w:after="40"/>
        <w:ind w:left="567"/>
      </w:pPr>
      <w:r>
        <w:rPr>
          <w:rFonts w:ascii="Times New Roman" w:hAnsi="Times New Roman"/>
          <w:color w:val="37352F"/>
          <w:sz w:val="24"/>
        </w:rPr>
        <w:t>Split metadata: Release the split IDs (the 822 tuning and 842 held-out query ids), the class/image counts per partition, the grouping policy (stratified by image), the selection objective (tuning-half argmax of balanced accuracy), and the deterministic tie-breaking rule (lowest τ on ties).</w:t>
      </w:r>
    </w:p>
    <w:p>
      <w:pPr>
        <w:keepNext/>
        <w:spacing w:before="240" w:after="120"/>
      </w:pPr>
      <w:r>
        <w:rPr>
          <w:rFonts w:ascii="Times New Roman" w:hAnsi="Times New Roman"/>
          <w:b/>
          <w:color w:val="1B2A4A"/>
          <w:sz w:val="28"/>
        </w:rPr>
        <w:t>5.4 Bibliography and proofing fixes</w:t>
      </w:r>
    </w:p>
    <w:p>
      <w:pPr>
        <w:pStyle w:val="ListBullet"/>
        <w:spacing w:line="312" w:lineRule="auto" w:after="40"/>
        <w:ind w:left="567"/>
      </w:pPr>
      <w:r>
        <w:rPr>
          <w:rFonts w:ascii="Times New Roman" w:hAnsi="Times New Roman"/>
          <w:color w:val="37352F"/>
          <w:sz w:val="24"/>
        </w:rPr>
        <w:t>wang2025contextfocus: Replace author list with "Nikhil Anand, Shwetha Somasundaram, Anirudh Phukan, Apoorv Saxena, and Koyel Mukherjee" (not Wang and Chen). arXiv:2601.04131, first submitted January 7, 2026.</w:t>
      </w:r>
    </w:p>
    <w:p>
      <w:pPr>
        <w:pStyle w:val="ListBullet"/>
        <w:spacing w:line="312" w:lineRule="auto" w:after="40"/>
        <w:ind w:left="567"/>
      </w:pPr>
      <w:r>
        <w:rPr>
          <w:rFonts w:ascii="Times New Roman" w:hAnsi="Times New Roman"/>
          <w:color w:val="37352F"/>
          <w:sz w:val="24"/>
        </w:rPr>
        <w:t>huo2025self: Replace author list with "Fushuo Huo, Wenchao Xu, Zhong Zhang, Haozhao Wang, Zhicheng Chen, and Peilin Zhao".</w:t>
      </w:r>
    </w:p>
    <w:p>
      <w:pPr>
        <w:pStyle w:val="ListBullet"/>
        <w:spacing w:line="312" w:lineRule="auto" w:after="40"/>
        <w:ind w:left="567"/>
      </w:pPr>
      <w:r>
        <w:rPr>
          <w:rFonts w:ascii="Times New Roman" w:hAnsi="Times New Roman"/>
          <w:color w:val="37352F"/>
          <w:sz w:val="24"/>
        </w:rPr>
        <w:t>liu2023visual: The author is Qingyang Wu, not "Wu, Yong".</w:t>
      </w:r>
    </w:p>
    <w:p>
      <w:pPr>
        <w:pStyle w:val="ListBullet"/>
        <w:spacing w:line="312" w:lineRule="auto" w:after="40"/>
        <w:ind w:left="567"/>
      </w:pPr>
      <w:r>
        <w:rPr>
          <w:rFonts w:ascii="Times New Roman" w:hAnsi="Times New Roman"/>
          <w:color w:val="37352F"/>
          <w:sz w:val="24"/>
        </w:rPr>
        <w:t>gong2026attention: Replace with "Boyang Gong, Yu Zheng, Fanye Kong, Jie Zhou, and Jiwen Lu".</w:t>
      </w:r>
    </w:p>
    <w:p>
      <w:pPr>
        <w:pStyle w:val="ListBullet"/>
        <w:spacing w:line="312" w:lineRule="auto" w:after="40"/>
        <w:ind w:left="567"/>
      </w:pPr>
      <w:r>
        <w:rPr>
          <w:rFonts w:ascii="Times New Roman" w:hAnsi="Times New Roman"/>
          <w:color w:val="37352F"/>
          <w:sz w:val="24"/>
        </w:rPr>
        <w:t>ArXiv identifiers in the rendered references are corrupted (e.g., "arXiv:240414219" instead of "arXiv:2404.14219"). Move identifiers out of the journal field into a style-supported eprint/note field so the decimal separator survives remove.dots in sn-basic.bst.</w:t>
      </w:r>
    </w:p>
    <w:p>
      <w:pPr>
        <w:pStyle w:val="ListBullet"/>
        <w:spacing w:line="312" w:lineRule="auto" w:after="40"/>
        <w:ind w:left="567"/>
      </w:pPr>
      <w:r>
        <w:rPr>
          <w:rFonts w:ascii="Times New Roman" w:hAnsi="Times New Roman"/>
          <w:color w:val="37352F"/>
          <w:sz w:val="24"/>
        </w:rPr>
        <w:t>Protect proper names in BibTeX titles: {Qwen2.5-VL}, {SpatialVLM}, {DoLa}, {SmolVLM}.</w:t>
      </w:r>
    </w:p>
    <w:p>
      <w:pPr>
        <w:pStyle w:val="ListBullet"/>
        <w:spacing w:line="312" w:lineRule="auto" w:after="40"/>
        <w:ind w:left="567"/>
      </w:pPr>
      <w:r>
        <w:rPr>
          <w:rFonts w:ascii="Times New Roman" w:hAnsi="Times New Roman"/>
          <w:color w:val="37352F"/>
          <w:sz w:val="24"/>
        </w:rPr>
        <w:t>Replace placeholder authors, example emails, and unfilled affiliation on the title page.</w:t>
      </w:r>
    </w:p>
    <w:p>
      <w:pPr>
        <w:pStyle w:val="ListBullet"/>
        <w:spacing w:line="312" w:lineRule="auto" w:after="40"/>
        <w:ind w:left="567"/>
      </w:pPr>
      <w:r>
        <w:rPr>
          <w:rFonts w:ascii="Times New Roman" w:hAnsi="Times New Roman"/>
          <w:color w:val="37352F"/>
          <w:sz w:val="24"/>
        </w:rPr>
        <w:t>Figure 1 footer: τ-range [0.650, 0.710] excludes Phi-3's selected 0.57. Change to [0.570, 0.710] if describing selected thresholds, or [0.550, 0.750] if describing the search grid.</w:t>
      </w:r>
    </w:p>
    <w:p>
      <w:pPr>
        <w:pStyle w:val="ListBullet"/>
        <w:spacing w:line="312" w:lineRule="auto" w:after="40"/>
        <w:ind w:left="567"/>
      </w:pPr>
      <w:r>
        <w:rPr>
          <w:rFonts w:ascii="Times New Roman" w:hAnsi="Times New Roman"/>
          <w:color w:val="37352F"/>
          <w:sz w:val="24"/>
        </w:rPr>
        <w:t>Appendix A opening paragraph: "; Recall and Specificity" → "; recall and specificity".</w:t>
      </w:r>
    </w:p>
    <w:p>
      <w:pPr>
        <w:pStyle w:val="ListBullet"/>
        <w:spacing w:line="312" w:lineRule="auto" w:after="40"/>
        <w:ind w:left="567"/>
      </w:pPr>
      <w:r>
        <w:rPr>
          <w:rFonts w:ascii="Times New Roman" w:hAnsi="Times New Roman"/>
          <w:color w:val="37352F"/>
          <w:sz w:val="24"/>
        </w:rPr>
        <w:t>Section 1 contribution 2: "reads a statistic, the standard pass computes anyway" → "reads a statistic that the standard pass already computes".</w:t>
      </w:r>
    </w:p>
    <w:p>
      <w:pPr>
        <w:pStyle w:val="ListBullet"/>
        <w:spacing w:line="312" w:lineRule="auto" w:after="40"/>
        <w:ind w:left="567"/>
      </w:pPr>
      <w:r>
        <w:rPr>
          <w:rFonts w:ascii="Times New Roman" w:hAnsi="Times New Roman"/>
          <w:color w:val="37352F"/>
          <w:sz w:val="24"/>
        </w:rPr>
        <w:t>Section 3.2 line 129: "Queries" becomes singular "answers it". Use "System 1 answers them with standard greedy decoding".</w:t>
      </w:r>
    </w:p>
    <w:p>
      <w:pPr>
        <w:keepNext/>
        <w:spacing w:before="360" w:after="120"/>
      </w:pPr>
      <w:r>
        <w:rPr>
          <w:rFonts w:ascii="Times New Roman" w:hAnsi="Times New Roman"/>
          <w:b/>
          <w:color w:val="1B2A4A"/>
          <w:sz w:val="32"/>
        </w:rPr>
        <w:t>6. Figures to Swap</w:t>
      </w:r>
    </w:p>
    <w:p>
      <w:pPr>
        <w:spacing w:line="312" w:lineRule="auto" w:after="80"/>
        <w:ind w:firstLine="482"/>
        <w:jc w:val="both"/>
      </w:pPr>
      <w:r>
        <w:rPr>
          <w:rFonts w:ascii="Times New Roman" w:hAnsi="Times New Roman"/>
          <w:color w:val="37352F"/>
          <w:sz w:val="24"/>
        </w:rPr>
        <w:t>All nine figures have been regenerated from the verified results table and saved to figures/. Replace the corresponding files in the LaTeX manuscript's figure directory. The figure numbering, captions, and references in the text remain unchanged — only the underlying PNG/PDF files need to be swapped.</w:t>
      </w:r>
    </w:p>
    <w:tbl>
      <w:tblPr>
        <w:tblW w:type="auto" w:w="0"/>
        <w:jc w:val="center"/>
        <w:tblLook w:firstColumn="1" w:firstRow="1" w:lastColumn="0" w:lastRow="0" w:noHBand="0" w:noVBand="1" w:val="04A0"/>
      </w:tblPr>
      <w:tblGrid>
        <w:gridCol w:w="2929"/>
        <w:gridCol w:w="2929"/>
        <w:gridCol w:w="2929"/>
      </w:tblGrid>
      <w:tr>
        <w:tc>
          <w:tcPr>
            <w:tcW w:type="dxa" w:w="2835"/>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File</w:t>
            </w:r>
          </w:p>
        </w:tc>
        <w:tc>
          <w:tcPr>
            <w:tcW w:type="dxa" w:w="3118"/>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Figure</w:t>
            </w:r>
          </w:p>
        </w:tc>
        <w:tc>
          <w:tcPr>
            <w:tcW w:type="dxa" w:w="3118"/>
            <w:vAlign w:val="center"/>
            <w:shd w:val="clear" w:color="auto" w:fill="1B2A4A"/>
            <w:tcBorders>
              <w:bottom w:val="single" w:sz="6" w:color="8C8A84"/>
            </w:tcBorders>
          </w:tcPr>
          <w:p>
            <w:pPr>
              <w:spacing w:line="276" w:lineRule="auto" w:after="0"/>
              <w:jc w:val="center"/>
            </w:pPr>
            <w:r/>
            <w:r>
              <w:rPr>
                <w:rFonts w:ascii="Times New Roman" w:hAnsi="Times New Roman"/>
                <w:b/>
                <w:color w:val="FFFFFF"/>
                <w:sz w:val="20"/>
              </w:rPr>
              <w:t>What changed</w:t>
            </w:r>
          </w:p>
        </w:tc>
      </w:tr>
      <w:tr>
        <w:tc>
          <w:tcPr>
            <w:tcW w:type="dxa" w:w="2835"/>
            <w:vAlign w:val="center"/>
          </w:tcPr>
          <w:p>
            <w:pPr>
              <w:spacing w:line="276" w:lineRule="auto" w:after="0"/>
            </w:pPr>
            <w:r/>
            <w:r>
              <w:rPr>
                <w:rFonts w:ascii="Times New Roman" w:hAnsi="Times New Roman"/>
                <w:b w:val="0"/>
                <w:color w:val="37352F"/>
                <w:sz w:val="20"/>
              </w:rPr>
              <w:t>fig2_line_models.png/.pdf</w:t>
            </w:r>
          </w:p>
        </w:tc>
        <w:tc>
          <w:tcPr>
            <w:tcW w:type="dxa" w:w="3118"/>
            <w:vAlign w:val="center"/>
          </w:tcPr>
          <w:p>
            <w:pPr>
              <w:spacing w:line="276" w:lineRule="auto" w:after="0"/>
            </w:pPr>
            <w:r/>
            <w:r>
              <w:rPr>
                <w:rFonts w:ascii="Times New Roman" w:hAnsi="Times New Roman"/>
                <w:b w:val="0"/>
                <w:color w:val="37352F"/>
                <w:sz w:val="20"/>
              </w:rPr>
              <w:t>Fig. 2 — Balanced accuracy bars, 7 models × 5 regimes</w:t>
            </w:r>
          </w:p>
        </w:tc>
        <w:tc>
          <w:tcPr>
            <w:tcW w:type="dxa" w:w="3118"/>
            <w:vAlign w:val="center"/>
          </w:tcPr>
          <w:p>
            <w:pPr>
              <w:spacing w:line="276" w:lineRule="auto" w:after="0"/>
            </w:pPr>
            <w:r/>
            <w:r>
              <w:rPr>
                <w:rFonts w:ascii="Times New Roman" w:hAnsi="Times New Roman"/>
                <w:b w:val="0"/>
                <w:color w:val="37352F"/>
                <w:sz w:val="20"/>
              </w:rPr>
              <w:t>Old fig2 used mixed-split numbers; new uses held-out 842</w:t>
            </w:r>
          </w:p>
        </w:tc>
      </w:tr>
      <w:tr>
        <w:tc>
          <w:tcPr>
            <w:tcW w:type="dxa" w:w="2835"/>
            <w:vAlign w:val="center"/>
            <w:shd w:val="clear" w:color="auto" w:fill="F7F7F5"/>
          </w:tcPr>
          <w:p>
            <w:pPr>
              <w:spacing w:line="276" w:lineRule="auto" w:after="0"/>
            </w:pPr>
            <w:r/>
            <w:r>
              <w:rPr>
                <w:rFonts w:ascii="Times New Roman" w:hAnsi="Times New Roman"/>
                <w:b w:val="0"/>
                <w:color w:val="37352F"/>
                <w:sz w:val="20"/>
              </w:rPr>
              <w:t>fig3_delta_heatmap.png/.pdf</w:t>
            </w:r>
          </w:p>
        </w:tc>
        <w:tc>
          <w:tcPr>
            <w:tcW w:type="dxa" w:w="3118"/>
            <w:vAlign w:val="center"/>
            <w:shd w:val="clear" w:color="auto" w:fill="F7F7F5"/>
          </w:tcPr>
          <w:p>
            <w:pPr>
              <w:spacing w:line="276" w:lineRule="auto" w:after="0"/>
            </w:pPr>
            <w:r/>
            <w:r>
              <w:rPr>
                <w:rFonts w:ascii="Times New Roman" w:hAnsi="Times New Roman"/>
                <w:b w:val="0"/>
                <w:color w:val="37352F"/>
                <w:sz w:val="20"/>
              </w:rPr>
              <w:t>Fig. 3 — Δ BalAcc vs Greedy heatmap</w:t>
            </w:r>
          </w:p>
        </w:tc>
        <w:tc>
          <w:tcPr>
            <w:tcW w:type="dxa" w:w="3118"/>
            <w:vAlign w:val="center"/>
            <w:shd w:val="clear" w:color="auto" w:fill="F7F7F5"/>
          </w:tcPr>
          <w:p>
            <w:pPr>
              <w:spacing w:line="276" w:lineRule="auto" w:after="0"/>
            </w:pPr>
            <w:r/>
            <w:r>
              <w:rPr>
                <w:rFonts w:ascii="Times New Roman" w:hAnsi="Times New Roman"/>
                <w:b w:val="0"/>
                <w:color w:val="37352F"/>
                <w:sz w:val="20"/>
              </w:rPr>
              <w:t>Numbers shifted by &lt;2 pp; colour scale unchanged</w:t>
            </w:r>
          </w:p>
        </w:tc>
      </w:tr>
      <w:tr>
        <w:tc>
          <w:tcPr>
            <w:tcW w:type="dxa" w:w="2835"/>
            <w:vAlign w:val="center"/>
          </w:tcPr>
          <w:p>
            <w:pPr>
              <w:spacing w:line="276" w:lineRule="auto" w:after="0"/>
            </w:pPr>
            <w:r/>
            <w:r>
              <w:rPr>
                <w:rFonts w:ascii="Times New Roman" w:hAnsi="Times New Roman"/>
                <w:b w:val="0"/>
                <w:color w:val="37352F"/>
                <w:sz w:val="20"/>
              </w:rPr>
              <w:t>fig4_recall_spec_bias.png/.pdf</w:t>
            </w:r>
          </w:p>
        </w:tc>
        <w:tc>
          <w:tcPr>
            <w:tcW w:type="dxa" w:w="3118"/>
            <w:vAlign w:val="center"/>
          </w:tcPr>
          <w:p>
            <w:pPr>
              <w:spacing w:line="276" w:lineRule="auto" w:after="0"/>
            </w:pPr>
            <w:r/>
            <w:r>
              <w:rPr>
                <w:rFonts w:ascii="Times New Roman" w:hAnsi="Times New Roman"/>
                <w:b w:val="0"/>
                <w:color w:val="37352F"/>
                <w:sz w:val="20"/>
              </w:rPr>
              <w:t>Fig. 4 — Recall vs Specificity scatter (4 bias models)</w:t>
            </w:r>
          </w:p>
        </w:tc>
        <w:tc>
          <w:tcPr>
            <w:tcW w:type="dxa" w:w="3118"/>
            <w:vAlign w:val="center"/>
          </w:tcPr>
          <w:p>
            <w:pPr>
              <w:spacing w:line="276" w:lineRule="auto" w:after="0"/>
            </w:pPr>
            <w:r/>
            <w:r>
              <w:rPr>
                <w:rFonts w:ascii="Times New Roman" w:hAnsi="Times New Roman"/>
                <w:b w:val="0"/>
                <w:color w:val="37352F"/>
                <w:sz w:val="20"/>
              </w:rPr>
              <w:t>Points moved slightly; pattern preserved</w:t>
            </w:r>
          </w:p>
        </w:tc>
      </w:tr>
      <w:tr>
        <w:tc>
          <w:tcPr>
            <w:tcW w:type="dxa" w:w="2835"/>
            <w:vAlign w:val="center"/>
            <w:shd w:val="clear" w:color="auto" w:fill="F7F7F5"/>
          </w:tcPr>
          <w:p>
            <w:pPr>
              <w:spacing w:line="276" w:lineRule="auto" w:after="0"/>
            </w:pPr>
            <w:r/>
            <w:r>
              <w:rPr>
                <w:rFonts w:ascii="Times New Roman" w:hAnsi="Times New Roman"/>
                <w:b w:val="0"/>
                <w:color w:val="37352F"/>
                <w:sz w:val="20"/>
              </w:rPr>
              <w:t>fig5_sweeps_bias.png/.pdf</w:t>
            </w:r>
          </w:p>
        </w:tc>
        <w:tc>
          <w:tcPr>
            <w:tcW w:type="dxa" w:w="3118"/>
            <w:vAlign w:val="center"/>
            <w:shd w:val="clear" w:color="auto" w:fill="F7F7F5"/>
          </w:tcPr>
          <w:p>
            <w:pPr>
              <w:spacing w:line="276" w:lineRule="auto" w:after="0"/>
            </w:pPr>
            <w:r/>
            <w:r>
              <w:rPr>
                <w:rFonts w:ascii="Times New Roman" w:hAnsi="Times New Roman"/>
                <w:b w:val="0"/>
                <w:color w:val="37352F"/>
                <w:sz w:val="20"/>
              </w:rPr>
              <w:t>Fig. 5 — τ sweep (4 bias-affected models)</w:t>
            </w:r>
          </w:p>
        </w:tc>
        <w:tc>
          <w:tcPr>
            <w:tcW w:type="dxa" w:w="3118"/>
            <w:vAlign w:val="center"/>
            <w:shd w:val="clear" w:color="auto" w:fill="F7F7F5"/>
          </w:tcPr>
          <w:p>
            <w:pPr>
              <w:spacing w:line="276" w:lineRule="auto" w:after="0"/>
            </w:pPr>
            <w:r/>
            <w:r>
              <w:rPr>
                <w:rFonts w:ascii="Times New Roman" w:hAnsi="Times New Roman"/>
                <w:b w:val="0"/>
                <w:color w:val="37352F"/>
                <w:sz w:val="20"/>
              </w:rPr>
              <w:t>τ* stars updated; curves slightly shifted</w:t>
            </w:r>
          </w:p>
        </w:tc>
      </w:tr>
      <w:tr>
        <w:tc>
          <w:tcPr>
            <w:tcW w:type="dxa" w:w="2835"/>
            <w:vAlign w:val="center"/>
          </w:tcPr>
          <w:p>
            <w:pPr>
              <w:spacing w:line="276" w:lineRule="auto" w:after="0"/>
            </w:pPr>
            <w:r/>
            <w:r>
              <w:rPr>
                <w:rFonts w:ascii="Times New Roman" w:hAnsi="Times New Roman"/>
                <w:b w:val="0"/>
                <w:color w:val="37352F"/>
                <w:sz w:val="20"/>
              </w:rPr>
              <w:t>fig6_sweeps_sound.png/.pdf</w:t>
            </w:r>
          </w:p>
        </w:tc>
        <w:tc>
          <w:tcPr>
            <w:tcW w:type="dxa" w:w="3118"/>
            <w:vAlign w:val="center"/>
          </w:tcPr>
          <w:p>
            <w:pPr>
              <w:spacing w:line="276" w:lineRule="auto" w:after="0"/>
            </w:pPr>
            <w:r/>
            <w:r>
              <w:rPr>
                <w:rFonts w:ascii="Times New Roman" w:hAnsi="Times New Roman"/>
                <w:b w:val="0"/>
                <w:color w:val="37352F"/>
                <w:sz w:val="20"/>
              </w:rPr>
              <w:t>Fig. 6 — τ sweep (3 sound models)</w:t>
            </w:r>
          </w:p>
        </w:tc>
        <w:tc>
          <w:tcPr>
            <w:tcW w:type="dxa" w:w="3118"/>
            <w:vAlign w:val="center"/>
          </w:tcPr>
          <w:p>
            <w:pPr>
              <w:spacing w:line="276" w:lineRule="auto" w:after="0"/>
            </w:pPr>
            <w:r/>
            <w:r>
              <w:rPr>
                <w:rFonts w:ascii="Times New Roman" w:hAnsi="Times New Roman"/>
                <w:b w:val="0"/>
                <w:color w:val="37352F"/>
                <w:sz w:val="20"/>
              </w:rPr>
              <w:t>Caption must change (see §5.2 above)</w:t>
            </w:r>
          </w:p>
        </w:tc>
      </w:tr>
      <w:tr>
        <w:tc>
          <w:tcPr>
            <w:tcW w:type="dxa" w:w="2835"/>
            <w:vAlign w:val="center"/>
            <w:shd w:val="clear" w:color="auto" w:fill="F7F7F5"/>
          </w:tcPr>
          <w:p>
            <w:pPr>
              <w:spacing w:line="276" w:lineRule="auto" w:after="0"/>
            </w:pPr>
            <w:r/>
            <w:r>
              <w:rPr>
                <w:rFonts w:ascii="Times New Roman" w:hAnsi="Times New Roman"/>
                <w:b w:val="0"/>
                <w:color w:val="37352F"/>
                <w:sz w:val="20"/>
              </w:rPr>
              <w:t>fig7_tau_robustness.png/.pdf</w:t>
            </w:r>
          </w:p>
        </w:tc>
        <w:tc>
          <w:tcPr>
            <w:tcW w:type="dxa" w:w="3118"/>
            <w:vAlign w:val="center"/>
            <w:shd w:val="clear" w:color="auto" w:fill="F7F7F5"/>
          </w:tcPr>
          <w:p>
            <w:pPr>
              <w:spacing w:line="276" w:lineRule="auto" w:after="0"/>
            </w:pPr>
            <w:r/>
            <w:r>
              <w:rPr>
                <w:rFonts w:ascii="Times New Roman" w:hAnsi="Times New Roman"/>
                <w:b w:val="0"/>
                <w:color w:val="37352F"/>
                <w:sz w:val="20"/>
              </w:rPr>
              <w:t>Fig. 7 — Gain over Greedy across τ (all 7)</w:t>
            </w:r>
          </w:p>
        </w:tc>
        <w:tc>
          <w:tcPr>
            <w:tcW w:type="dxa" w:w="3118"/>
            <w:vAlign w:val="center"/>
            <w:shd w:val="clear" w:color="auto" w:fill="F7F7F5"/>
          </w:tcPr>
          <w:p>
            <w:pPr>
              <w:spacing w:line="276" w:lineRule="auto" w:after="0"/>
            </w:pPr>
            <w:r/>
            <w:r>
              <w:rPr>
                <w:rFonts w:ascii="Times New Roman" w:hAnsi="Times New Roman"/>
                <w:b w:val="0"/>
                <w:color w:val="37352F"/>
                <w:sz w:val="20"/>
              </w:rPr>
              <w:t>Curves slightly shifted; stars updated</w:t>
            </w:r>
          </w:p>
        </w:tc>
      </w:tr>
      <w:tr>
        <w:tc>
          <w:tcPr>
            <w:tcW w:type="dxa" w:w="2835"/>
            <w:vAlign w:val="center"/>
          </w:tcPr>
          <w:p>
            <w:pPr>
              <w:spacing w:line="276" w:lineRule="auto" w:after="0"/>
            </w:pPr>
            <w:r/>
            <w:r>
              <w:rPr>
                <w:rFonts w:ascii="Times New Roman" w:hAnsi="Times New Roman"/>
                <w:b w:val="0"/>
                <w:color w:val="37352F"/>
                <w:sz w:val="20"/>
              </w:rPr>
              <w:t>figA1_metrics_heatmap.png/.pdf</w:t>
            </w:r>
          </w:p>
        </w:tc>
        <w:tc>
          <w:tcPr>
            <w:tcW w:type="dxa" w:w="3118"/>
            <w:vAlign w:val="center"/>
          </w:tcPr>
          <w:p>
            <w:pPr>
              <w:spacing w:line="276" w:lineRule="auto" w:after="0"/>
            </w:pPr>
            <w:r/>
            <w:r>
              <w:rPr>
                <w:rFonts w:ascii="Times New Roman" w:hAnsi="Times New Roman"/>
                <w:b w:val="0"/>
                <w:color w:val="37352F"/>
                <w:sz w:val="20"/>
              </w:rPr>
              <w:t>Fig. A1 — 3 heatmaps (R, S, BalAcc)</w:t>
            </w:r>
          </w:p>
        </w:tc>
        <w:tc>
          <w:tcPr>
            <w:tcW w:type="dxa" w:w="3118"/>
            <w:vAlign w:val="center"/>
          </w:tcPr>
          <w:p>
            <w:pPr>
              <w:spacing w:line="276" w:lineRule="auto" w:after="0"/>
            </w:pPr>
            <w:r/>
            <w:r>
              <w:rPr>
                <w:rFonts w:ascii="Times New Roman" w:hAnsi="Times New Roman"/>
                <w:b w:val="0"/>
                <w:color w:val="37352F"/>
                <w:sz w:val="20"/>
              </w:rPr>
              <w:t>All 35 cells updated</w:t>
            </w:r>
          </w:p>
        </w:tc>
      </w:tr>
      <w:tr>
        <w:tc>
          <w:tcPr>
            <w:tcW w:type="dxa" w:w="2835"/>
            <w:vAlign w:val="center"/>
            <w:shd w:val="clear" w:color="auto" w:fill="F7F7F5"/>
          </w:tcPr>
          <w:p>
            <w:pPr>
              <w:spacing w:line="276" w:lineRule="auto" w:after="0"/>
            </w:pPr>
            <w:r/>
            <w:r>
              <w:rPr>
                <w:rFonts w:ascii="Times New Roman" w:hAnsi="Times New Roman"/>
                <w:b w:val="0"/>
                <w:color w:val="37352F"/>
                <w:sz w:val="20"/>
              </w:rPr>
              <w:t>figA2a_sweep_heatmap.png/.pdf</w:t>
            </w:r>
          </w:p>
        </w:tc>
        <w:tc>
          <w:tcPr>
            <w:tcW w:type="dxa" w:w="3118"/>
            <w:vAlign w:val="center"/>
            <w:shd w:val="clear" w:color="auto" w:fill="F7F7F5"/>
          </w:tcPr>
          <w:p>
            <w:pPr>
              <w:spacing w:line="276" w:lineRule="auto" w:after="0"/>
            </w:pPr>
            <w:r/>
            <w:r>
              <w:rPr>
                <w:rFonts w:ascii="Times New Roman" w:hAnsi="Times New Roman"/>
                <w:b w:val="0"/>
                <w:color w:val="37352F"/>
                <w:sz w:val="20"/>
              </w:rPr>
              <w:t>Fig. A2a — Tuning sweep heatmap</w:t>
            </w:r>
          </w:p>
        </w:tc>
        <w:tc>
          <w:tcPr>
            <w:tcW w:type="dxa" w:w="3118"/>
            <w:vAlign w:val="center"/>
            <w:shd w:val="clear" w:color="auto" w:fill="F7F7F5"/>
          </w:tcPr>
          <w:p>
            <w:pPr>
              <w:spacing w:line="276" w:lineRule="auto" w:after="0"/>
            </w:pPr>
            <w:r/>
            <w:r>
              <w:rPr>
                <w:rFonts w:ascii="Times New Roman" w:hAnsi="Times New Roman"/>
                <w:b w:val="0"/>
                <w:color w:val="37352F"/>
                <w:sz w:val="20"/>
              </w:rPr>
              <w:t>All 147 cells updated; τ* stars repositioned</w:t>
            </w:r>
          </w:p>
        </w:tc>
      </w:tr>
      <w:tr>
        <w:tc>
          <w:tcPr>
            <w:tcW w:type="dxa" w:w="2835"/>
            <w:vAlign w:val="center"/>
          </w:tcPr>
          <w:p>
            <w:pPr>
              <w:spacing w:line="276" w:lineRule="auto" w:after="0"/>
            </w:pPr>
            <w:r/>
            <w:r>
              <w:rPr>
                <w:rFonts w:ascii="Times New Roman" w:hAnsi="Times New Roman"/>
                <w:b w:val="0"/>
                <w:color w:val="37352F"/>
                <w:sz w:val="20"/>
              </w:rPr>
              <w:t>figA2b_tau_star_gain.png/.pdf</w:t>
            </w:r>
          </w:p>
        </w:tc>
        <w:tc>
          <w:tcPr>
            <w:tcW w:type="dxa" w:w="3118"/>
            <w:vAlign w:val="center"/>
          </w:tcPr>
          <w:p>
            <w:pPr>
              <w:spacing w:line="276" w:lineRule="auto" w:after="0"/>
            </w:pPr>
            <w:r/>
            <w:r>
              <w:rPr>
                <w:rFonts w:ascii="Times New Roman" w:hAnsi="Times New Roman"/>
                <w:b w:val="0"/>
                <w:color w:val="37352F"/>
                <w:sz w:val="20"/>
              </w:rPr>
              <w:t>Fig. A2b — Gain at τ* per model</w:t>
            </w:r>
          </w:p>
        </w:tc>
        <w:tc>
          <w:tcPr>
            <w:tcW w:type="dxa" w:w="3118"/>
            <w:vAlign w:val="center"/>
          </w:tcPr>
          <w:p>
            <w:pPr>
              <w:spacing w:line="276" w:lineRule="auto" w:after="0"/>
            </w:pPr>
            <w:r/>
            <w:r>
              <w:rPr>
                <w:rFonts w:ascii="Times New Roman" w:hAnsi="Times New Roman"/>
                <w:b w:val="0"/>
                <w:color w:val="37352F"/>
                <w:sz w:val="20"/>
              </w:rPr>
              <w:t>Bars slightly shifted; ordering preserved</w:t>
            </w:r>
          </w:p>
        </w:tc>
      </w:tr>
    </w:tbl>
    <w:p>
      <w:pPr>
        <w:spacing w:line="312" w:lineRule="auto" w:after="80"/>
        <w:ind w:firstLine="482"/>
        <w:jc w:val="both"/>
      </w:pPr>
      <w:r>
        <w:rPr>
          <w:rFonts w:ascii="Times New Roman" w:hAnsi="Times New Roman"/>
          <w:color w:val="37352F"/>
          <w:sz w:val="24"/>
        </w:rPr>
      </w:r>
    </w:p>
    <w:p>
      <w:pPr>
        <w:spacing w:line="312" w:lineRule="auto" w:after="80"/>
        <w:ind w:firstLine="482"/>
        <w:jc w:val="both"/>
      </w:pPr>
      <w:r>
        <w:rPr>
          <w:rFonts w:ascii="Times New Roman" w:hAnsi="Times New Roman"/>
          <w:color w:val="37352F"/>
          <w:sz w:val="24"/>
        </w:rPr>
        <w:t>After swapping the figures, recompile the LaTeX and verify that Figure 2 no longer places the LLaVA-v1.6 SID marker above EGCD (the old figure-table conflict from Finding 7 is resolved because both are now 85.65 / 85.75 within rounding).</w:t>
      </w:r>
    </w:p>
    <w:p>
      <w:pPr>
        <w:keepNext/>
        <w:spacing w:before="360" w:after="120"/>
      </w:pPr>
      <w:r>
        <w:rPr>
          <w:rFonts w:ascii="Times New Roman" w:hAnsi="Times New Roman"/>
          <w:b/>
          <w:color w:val="1B2A4A"/>
          <w:sz w:val="32"/>
        </w:rPr>
        <w:t>7. What Did NOT Change (good news)</w:t>
      </w:r>
    </w:p>
    <w:p>
      <w:pPr>
        <w:spacing w:line="312" w:lineRule="auto" w:after="80"/>
        <w:ind w:firstLine="482"/>
        <w:jc w:val="both"/>
      </w:pPr>
      <w:r>
        <w:rPr>
          <w:rFonts w:ascii="Times New Roman" w:hAnsi="Times New Roman"/>
          <w:color w:val="37352F"/>
          <w:sz w:val="24"/>
        </w:rPr>
        <w:t>The central narrative of the paper is intact. The following claims remain valid without modification:</w:t>
      </w:r>
    </w:p>
    <w:p>
      <w:pPr>
        <w:pStyle w:val="ListBullet"/>
        <w:spacing w:line="312" w:lineRule="auto" w:after="40"/>
        <w:ind w:left="567"/>
      </w:pPr>
      <w:r>
        <w:rPr>
          <w:rFonts w:ascii="Times New Roman" w:hAnsi="Times New Roman"/>
          <w:color w:val="37352F"/>
          <w:sz w:val="24"/>
        </w:rPr>
        <w:t>EGCD improves balanced accuracy on the four biased architectures (Qwen2-VL-2B, Phi-3-Vision-4.2B, SmolVLM2-2.2B, Qwen2.5-VL-7B).</w:t>
      </w:r>
    </w:p>
    <w:p>
      <w:pPr>
        <w:pStyle w:val="ListBullet"/>
        <w:spacing w:line="312" w:lineRule="auto" w:after="40"/>
        <w:ind w:left="567"/>
      </w:pPr>
      <w:r>
        <w:rPr>
          <w:rFonts w:ascii="Times New Roman" w:hAnsi="Times New Roman"/>
          <w:color w:val="37352F"/>
          <w:sz w:val="24"/>
        </w:rPr>
        <w:t>Universal CD+APC catastrophically fails on the two LLaVA models (collapse from ~76/86 down to ~65/75 BalAcc).</w:t>
      </w:r>
    </w:p>
    <w:p>
      <w:pPr>
        <w:pStyle w:val="ListBullet"/>
        <w:spacing w:line="312" w:lineRule="auto" w:after="40"/>
        <w:ind w:left="567"/>
      </w:pPr>
      <w:r>
        <w:rPr>
          <w:rFonts w:ascii="Times New Roman" w:hAnsi="Times New Roman"/>
          <w:color w:val="37352F"/>
          <w:sz w:val="24"/>
        </w:rPr>
        <w:t>The gate stays essentially idle on the structurally sound models (LLaVA-1.5: 0% routing; LLaVA-v1.6: &lt;0.5% routing; Idefics2: ~3% routing).</w:t>
      </w:r>
    </w:p>
    <w:p>
      <w:pPr>
        <w:pStyle w:val="ListBullet"/>
        <w:spacing w:line="312" w:lineRule="auto" w:after="40"/>
        <w:ind w:left="567"/>
      </w:pPr>
      <w:r>
        <w:rPr>
          <w:rFonts w:ascii="Times New Roman" w:hAnsi="Times New Roman"/>
          <w:color w:val="37352F"/>
          <w:sz w:val="24"/>
        </w:rPr>
        <w:t>Shuffled-routing at the same rate recovers only part of the gain — the entropy signal matters, not just the routing count.</w:t>
      </w:r>
    </w:p>
    <w:p>
      <w:pPr>
        <w:pStyle w:val="ListBullet"/>
        <w:spacing w:line="312" w:lineRule="auto" w:after="40"/>
        <w:ind w:left="567"/>
      </w:pPr>
      <w:r>
        <w:rPr>
          <w:rFonts w:ascii="Times New Roman" w:hAnsi="Times New Roman"/>
          <w:color w:val="37352F"/>
          <w:sz w:val="24"/>
        </w:rPr>
        <w:t>The α = 1.0, β = 0.1 defaults from VCD remain the right operating point.</w:t>
      </w:r>
    </w:p>
    <w:p>
      <w:pPr>
        <w:pStyle w:val="ListBullet"/>
        <w:spacing w:line="312" w:lineRule="auto" w:after="40"/>
        <w:ind w:left="567"/>
      </w:pPr>
      <w:r>
        <w:rPr>
          <w:rFonts w:ascii="Times New Roman" w:hAnsi="Times New Roman"/>
          <w:color w:val="37352F"/>
          <w:sz w:val="24"/>
        </w:rPr>
        <w:t>The first-token entropy is computed from the full vocabulary in nats (not binary), so the 0.55-0.75 threshold grid is mathematically compatible.</w:t>
      </w:r>
    </w:p>
    <w:p>
      <w:pPr>
        <w:pStyle w:val="ListBullet"/>
        <w:spacing w:line="312" w:lineRule="auto" w:after="40"/>
        <w:ind w:left="567"/>
      </w:pPr>
      <w:r>
        <w:rPr>
          <w:rFonts w:ascii="Times New Roman" w:hAnsi="Times New Roman"/>
          <w:color w:val="37352F"/>
          <w:sz w:val="24"/>
        </w:rPr>
        <w:t>The seven-model cross-architecture comparison still spans four architectural families and shows the same bias-vs-sound dichotomy.</w:t>
      </w:r>
    </w:p>
    <w:p>
      <w:pPr>
        <w:keepNext/>
        <w:spacing w:before="360" w:after="120"/>
      </w:pPr>
      <w:r>
        <w:rPr>
          <w:rFonts w:ascii="Times New Roman" w:hAnsi="Times New Roman"/>
          <w:b/>
          <w:color w:val="1B2A4A"/>
          <w:sz w:val="32"/>
        </w:rPr>
        <w:t>8. Deliverables</w:t>
      </w:r>
    </w:p>
    <w:p>
      <w:pPr>
        <w:spacing w:line="312" w:lineRule="auto" w:after="80"/>
        <w:ind w:firstLine="482"/>
        <w:jc w:val="both"/>
      </w:pPr>
      <w:r>
        <w:rPr>
          <w:rFonts w:ascii="Times New Roman" w:hAnsi="Times New Roman"/>
          <w:color w:val="37352F"/>
          <w:sz w:val="24"/>
        </w:rPr>
        <w:t>The following files have been generated for this re-analysis:</w:t>
      </w:r>
    </w:p>
    <w:p>
      <w:pPr>
        <w:pStyle w:val="ListBullet"/>
        <w:spacing w:line="312" w:lineRule="auto" w:after="40"/>
        <w:ind w:left="567"/>
      </w:pPr>
      <w:r>
        <w:rPr>
          <w:rFonts w:ascii="Times New Roman" w:hAnsi="Times New Roman"/>
          <w:color w:val="37352F"/>
          <w:sz w:val="24"/>
        </w:rPr>
        <w:t>EGCD_reanalysis_consolidated.xlsx — 14-sheet workbook: README, Table 1 (held-out), Old vs New comparison, McNemar, τ* selection, tuning sweep, routing fraction, and 7 per-item sheets (one per model, 842 held-out items each).</w:t>
      </w:r>
    </w:p>
    <w:p>
      <w:pPr>
        <w:pStyle w:val="ListBullet"/>
        <w:spacing w:line="312" w:lineRule="auto" w:after="40"/>
        <w:ind w:left="567"/>
      </w:pPr>
      <w:r>
        <w:rPr>
          <w:rFonts w:ascii="Times New Roman" w:hAnsi="Times New Roman"/>
          <w:color w:val="37352F"/>
          <w:sz w:val="24"/>
        </w:rPr>
        <w:t>figures/fig2_line_models.png + .pdf — new Figure 2</w:t>
      </w:r>
    </w:p>
    <w:p>
      <w:pPr>
        <w:pStyle w:val="ListBullet"/>
        <w:spacing w:line="312" w:lineRule="auto" w:after="40"/>
        <w:ind w:left="567"/>
      </w:pPr>
      <w:r>
        <w:rPr>
          <w:rFonts w:ascii="Times New Roman" w:hAnsi="Times New Roman"/>
          <w:color w:val="37352F"/>
          <w:sz w:val="24"/>
        </w:rPr>
        <w:t>figures/fig3_delta_heatmap.png + .pdf — new Figure 3</w:t>
      </w:r>
    </w:p>
    <w:p>
      <w:pPr>
        <w:pStyle w:val="ListBullet"/>
        <w:spacing w:line="312" w:lineRule="auto" w:after="40"/>
        <w:ind w:left="567"/>
      </w:pPr>
      <w:r>
        <w:rPr>
          <w:rFonts w:ascii="Times New Roman" w:hAnsi="Times New Roman"/>
          <w:color w:val="37352F"/>
          <w:sz w:val="24"/>
        </w:rPr>
        <w:t>figures/fig4_recall_spec_bias.png + .pdf — new Figure 4</w:t>
      </w:r>
    </w:p>
    <w:p>
      <w:pPr>
        <w:pStyle w:val="ListBullet"/>
        <w:spacing w:line="312" w:lineRule="auto" w:after="40"/>
        <w:ind w:left="567"/>
      </w:pPr>
      <w:r>
        <w:rPr>
          <w:rFonts w:ascii="Times New Roman" w:hAnsi="Times New Roman"/>
          <w:color w:val="37352F"/>
          <w:sz w:val="24"/>
        </w:rPr>
        <w:t>figures/fig5_sweeps_bias.png + .pdf — new Figure 5</w:t>
      </w:r>
    </w:p>
    <w:p>
      <w:pPr>
        <w:pStyle w:val="ListBullet"/>
        <w:spacing w:line="312" w:lineRule="auto" w:after="40"/>
        <w:ind w:left="567"/>
      </w:pPr>
      <w:r>
        <w:rPr>
          <w:rFonts w:ascii="Times New Roman" w:hAnsi="Times New Roman"/>
          <w:color w:val="37352F"/>
          <w:sz w:val="24"/>
        </w:rPr>
        <w:t>figures/fig6_sweeps_sound.png + .pdf — new Figure 6</w:t>
      </w:r>
    </w:p>
    <w:p>
      <w:pPr>
        <w:pStyle w:val="ListBullet"/>
        <w:spacing w:line="312" w:lineRule="auto" w:after="40"/>
        <w:ind w:left="567"/>
      </w:pPr>
      <w:r>
        <w:rPr>
          <w:rFonts w:ascii="Times New Roman" w:hAnsi="Times New Roman"/>
          <w:color w:val="37352F"/>
          <w:sz w:val="24"/>
        </w:rPr>
        <w:t>figures/fig7_tau_robustness.png + .pdf — new Figure 7</w:t>
      </w:r>
    </w:p>
    <w:p>
      <w:pPr>
        <w:pStyle w:val="ListBullet"/>
        <w:spacing w:line="312" w:lineRule="auto" w:after="40"/>
        <w:ind w:left="567"/>
      </w:pPr>
      <w:r>
        <w:rPr>
          <w:rFonts w:ascii="Times New Roman" w:hAnsi="Times New Roman"/>
          <w:color w:val="37352F"/>
          <w:sz w:val="24"/>
        </w:rPr>
        <w:t>figures/figA1_metrics_heatmap.png + .pdf — new Figure A1</w:t>
      </w:r>
    </w:p>
    <w:p>
      <w:pPr>
        <w:pStyle w:val="ListBullet"/>
        <w:spacing w:line="312" w:lineRule="auto" w:after="40"/>
        <w:ind w:left="567"/>
      </w:pPr>
      <w:r>
        <w:rPr>
          <w:rFonts w:ascii="Times New Roman" w:hAnsi="Times New Roman"/>
          <w:color w:val="37352F"/>
          <w:sz w:val="24"/>
        </w:rPr>
        <w:t>figures/figA2a_sweep_heatmap.png + .pdf — new Figure A2a</w:t>
      </w:r>
    </w:p>
    <w:p>
      <w:pPr>
        <w:pStyle w:val="ListBullet"/>
        <w:spacing w:line="312" w:lineRule="auto" w:after="40"/>
        <w:ind w:left="567"/>
      </w:pPr>
      <w:r>
        <w:rPr>
          <w:rFonts w:ascii="Times New Roman" w:hAnsi="Times New Roman"/>
          <w:color w:val="37352F"/>
          <w:sz w:val="24"/>
        </w:rPr>
        <w:t>figures/figA2b_tau_star_gain.png + .pdf — new Figure A2b</w:t>
      </w:r>
    </w:p>
    <w:p>
      <w:pPr>
        <w:pStyle w:val="ListBullet"/>
        <w:spacing w:line="312" w:lineRule="auto" w:after="40"/>
        <w:ind w:left="567"/>
      </w:pPr>
      <w:r>
        <w:rPr>
          <w:rFonts w:ascii="Times New Roman" w:hAnsi="Times New Roman"/>
          <w:color w:val="37352F"/>
          <w:sz w:val="24"/>
        </w:rPr>
        <w:t>egcd_reanalysis.json — full structured results (machine-readable)</w:t>
      </w:r>
    </w:p>
    <w:p>
      <w:pPr>
        <w:pStyle w:val="ListBullet"/>
        <w:spacing w:line="312" w:lineRule="auto" w:after="40"/>
        <w:ind w:left="567"/>
      </w:pPr>
      <w:r>
        <w:rPr>
          <w:rFonts w:ascii="Times New Roman" w:hAnsi="Times New Roman"/>
          <w:color w:val="37352F"/>
          <w:sz w:val="24"/>
        </w:rPr>
        <w:t>comparison_summary.txt — human-readable old-vs-new comparison printout</w:t>
      </w:r>
    </w:p>
    <w:p>
      <w:pPr>
        <w:spacing w:line="312" w:lineRule="auto" w:after="80"/>
        <w:ind w:firstLine="482"/>
        <w:jc w:val="both"/>
      </w:pPr>
      <w:r>
        <w:rPr>
          <w:rFonts w:ascii="Times New Roman" w:hAnsi="Times New Roman"/>
          <w:color w:val="37352F"/>
          <w:sz w:val="24"/>
        </w:rPr>
      </w:r>
    </w:p>
    <w:p>
      <w:pPr>
        <w:spacing w:line="312" w:lineRule="auto" w:after="80"/>
        <w:ind w:firstLine="482"/>
        <w:jc w:val="both"/>
      </w:pPr>
      <w:r>
        <w:rPr>
          <w:rFonts w:ascii="Times New Roman" w:hAnsi="Times New Roman"/>
          <w:color w:val="37352F"/>
          <w:sz w:val="24"/>
        </w:rPr>
        <w:t>Recommended next steps: (1) apply the 12 number updates in §5.1 to the LaTeX source; (2) swap the 9 figure files; (3) apply the 5 claim-softening edits in §5.2; (4) apply the 6 implementation/notation fixes in §5.3; (5) apply the 11 bibliography/proofing fixes in §5.4; (6) recompile the PDF and inspect Figure 2 to confirm the LLaVA-v1.6 SID/EGCD markers are now visually equal (both ≈85.7); (7) re-run the proofing scan to confirm no regressions.</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0"/>
    </w:pPr>
    <w:rPr>
      <w:rFonts w:ascii="Times New Roman" w:hAnsi="Times New Roman"/>
      <w:color w:val="37352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