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53B5" w14:textId="77777777" w:rsidR="00435EBB" w:rsidRDefault="00435EBB" w:rsidP="00435EBB">
      <w:pPr>
        <w:pStyle w:val="ListParagraph"/>
        <w:spacing w:line="360" w:lineRule="auto"/>
        <w:jc w:val="both"/>
      </w:pPr>
      <w:r w:rsidRPr="003D6A78">
        <w:t xml:space="preserve">Perturbation studies expose the same weakness from another side. When Shin et al. (2026) rotated images or corrupted them with noise, relational accuracy dropped across open and closed models alike, while object recognition barely moved. Layout probes tell a matching story: faced with compositional structure, models lean on non-visual shortcuts instead of reading the scene (Brown et al., 2025; Chen et al., 2024). </w:t>
      </w:r>
      <w:r w:rsidRPr="00EE13DD">
        <w:t>Mistakes of this kind are made while the answer is being generated, not at the point of perception: cross-attention settles on the earliest salient objects and stops moving, the mechanism Gong et al. (2026) name Visual Inertia (Section 2.1), so a fix has to operate inside decoding</w:t>
      </w:r>
      <w:r w:rsidRPr="003D6A78">
        <w:t>.</w:t>
      </w:r>
    </w:p>
    <w:p w14:paraId="7B4D7CE0" w14:textId="77777777" w:rsidR="00435EBB" w:rsidRDefault="00435EBB" w:rsidP="00435EBB">
      <w:pPr>
        <w:spacing w:after="120" w:line="360" w:lineRule="auto"/>
        <w:jc w:val="both"/>
      </w:pPr>
      <w:r>
        <w:t>Of all these tasks, relational queries are where models struggle most. The task needs two objects bound together and a predicate checked between them, which is precisely the computation that attention stagnation breaks. The evidence has piled up from several directions: rotation and noise destroy relational accuracy even while recognition survives (Shin et al., 2026), spatial benchmarks keep catching shortcut heuristics that skip grounded binding (Brown et al., 2025; Chen et al., 2024), and survey-level treatments still count compositional failure among the open problems of vision-language modeling (Bordes et al., 2024).</w:t>
      </w:r>
    </w:p>
    <w:p w14:paraId="2FFADBA2" w14:textId="77777777" w:rsidR="00435EBB" w:rsidRDefault="00435EBB" w:rsidP="00435EBB">
      <w:pPr>
        <w:spacing w:after="120" w:line="360" w:lineRule="auto"/>
        <w:jc w:val="both"/>
      </w:pPr>
      <w:r>
        <w:t xml:space="preserve">Binary relation questions make this especially convenient: the very first token the model emits is the answer, so the whole vision-text contest is settled inside this one distribution. </w:t>
      </w:r>
    </w:p>
    <w:p w14:paraId="45C8B024" w14:textId="77777777" w:rsidR="00435EBB" w:rsidRDefault="00435EBB" w:rsidP="00435EBB">
      <w:pPr>
        <w:spacing w:after="120" w:line="360" w:lineRule="auto"/>
        <w:jc w:val="both"/>
      </w:pPr>
      <w:r>
        <w:t xml:space="preserve">A hard threshold τ divides the two regimes. A query with </w:t>
      </w:r>
      <w:proofErr w:type="gramStart"/>
      <w:r>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&lt; τ counts as settled: its priors are safe to trust, and System 1 answers it with standard greedy decoding, giving </w:t>
      </w:r>
      <m:oMath>
        <m:sSub>
          <m:sSubPr>
            <m:ctrlPr>
              <w:rPr>
                <w:rFonts w:ascii="Cambria Math" w:hAnsi="Cambria Math"/>
              </w:rPr>
            </m:ctrlPr>
          </m:sSubPr>
          <m:e>
            <m:r>
              <w:rPr>
                <w:rFonts w:ascii="Cambria Math" w:hAnsi="Cambria Math"/>
              </w:rPr>
              <m:t>Y</m:t>
            </m:r>
          </m:e>
          <m:sub>
            <m:r>
              <w:rPr>
                <w:rFonts w:ascii="Cambria Math" w:hAnsi="Cambria Math"/>
              </w:rPr>
              <m:t>std</m:t>
            </m:r>
          </m:sub>
        </m:sSub>
      </m:oMath>
      <w:r>
        <w:t xml:space="preserve">. When </w:t>
      </w:r>
      <w:proofErr w:type="gramStart"/>
      <w:r>
        <w:t>H(</w:t>
      </w:r>
      <w:proofErr w:type="gramEnd"/>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 τ, the entropy spike signals vision-text conflict, and the query is routed to the corrective System 2 pathway, which returns </w:t>
      </w:r>
      <m:oMath>
        <m:sSub>
          <m:sSubPr>
            <m:ctrlPr>
              <w:rPr>
                <w:rFonts w:ascii="Cambria Math" w:hAnsi="Cambria Math"/>
              </w:rPr>
            </m:ctrlPr>
          </m:sSubPr>
          <m:e>
            <m:r>
              <w:rPr>
                <w:rFonts w:ascii="Cambria Math" w:hAnsi="Cambria Math"/>
              </w:rPr>
              <m:t>Y</m:t>
            </m:r>
          </m:e>
          <m:sub>
            <m:r>
              <w:rPr>
                <w:rFonts w:ascii="Cambria Math" w:hAnsi="Cambria Math"/>
              </w:rPr>
              <m:t>CD</m:t>
            </m:r>
          </m:sub>
        </m:sSub>
      </m:oMath>
      <w:r>
        <w:t>. Because the gate reads a forward-pass statistic that System 1 already computes, checking the gate adds no overhead. The only additional cost, one counterfactual forward pass, is incurred only by queries that actually route to System 2.</w:t>
      </w:r>
    </w:p>
    <w:p w14:paraId="1ABF1978" w14:textId="77777777" w:rsidR="00435EBB" w:rsidRDefault="00435EBB" w:rsidP="00435EBB">
      <w:pPr>
        <w:spacing w:after="120" w:line="360" w:lineRule="auto"/>
        <w:jc w:val="both"/>
      </w:pPr>
      <w:r>
        <w:lastRenderedPageBreak/>
        <w:t xml:space="preserve">Phi-3-Vision-4.2B </w:t>
      </w:r>
      <w:r w:rsidRPr="00C35C83">
        <w:t xml:space="preserve">completes the suite </w:t>
      </w:r>
      <w:r>
        <w:t>(Abdin et al., 2024). Because the encoders, connectors, and language backbones all differ across this suite, we can examine how architecture conditions the response to decoding interventions.</w:t>
      </w:r>
    </w:p>
    <w:p w14:paraId="409D8175" w14:textId="23F46378" w:rsidR="00435EBB" w:rsidRDefault="00435EBB">
      <w:r>
        <w:t>Recall is computed on the positive split of the benchmark, where the ground-truth relation holds and the model must answer Yes. Specificity is computed on the negative, hallucination-prone slice, where the stated relation is false and an affirmative shortcut earns nothing (Yin et al., 2025).</w:t>
      </w:r>
    </w:p>
    <w:p w14:paraId="3C72276F" w14:textId="77777777" w:rsidR="00435EBB" w:rsidRDefault="00435EBB" w:rsidP="00435EBB">
      <w:pPr>
        <w:spacing w:after="120" w:line="360" w:lineRule="auto"/>
        <w:jc w:val="both"/>
      </w:pPr>
      <w:r>
        <w:t xml:space="preserve">Table 1 summarizes the five decoding regimes. Three patterns stand out. Biased models improve sharply under EGCD. Balanced models are damaged by universal CD+APC, in one case catastrophically. </w:t>
      </w:r>
      <w:r w:rsidRPr="0093708A">
        <w:t xml:space="preserve">On the held-out split EGCD never falls below its baseline, and it matches universal CD+APC wherever </w:t>
      </w:r>
      <w:r>
        <w:t>that method</w:t>
      </w:r>
      <w:r w:rsidRPr="0093708A">
        <w:t xml:space="preserve"> helps.</w:t>
      </w:r>
    </w:p>
    <w:p w14:paraId="025FA30C" w14:textId="77777777" w:rsidR="00435EBB" w:rsidRDefault="00435EBB" w:rsidP="00435EBB">
      <w:pPr>
        <w:keepNext/>
        <w:spacing w:before="160" w:after="80" w:line="360" w:lineRule="auto"/>
        <w:jc w:val="both"/>
      </w:pPr>
      <w:r>
        <w:rPr>
          <w:sz w:val="20"/>
        </w:rPr>
        <w:t>Table 1: Held-out results under five decoding regimes. EGCD uses the per-model threshold selected on the tuning half; VCD and SID are applied at every decoding step with the same α and β as CD+APC</w:t>
      </w:r>
      <w:r>
        <w:rPr>
          <w:sz w:val="21"/>
          <w:szCs w:val="21"/>
        </w:rPr>
        <w:t>.</w:t>
      </w:r>
    </w:p>
    <w:p w14:paraId="7003F1D8" w14:textId="77777777" w:rsidR="00435EBB" w:rsidRPr="00767176" w:rsidRDefault="00435EBB" w:rsidP="00435EBB">
      <w:pPr>
        <w:spacing w:line="276" w:lineRule="auto"/>
        <w:jc w:val="both"/>
      </w:pPr>
      <w:r>
        <w:t xml:space="preserve">Figure 2 plots the balanced-accuracy comparison. </w:t>
      </w:r>
      <w:r w:rsidRPr="00767176">
        <w:t>On Qwen2-VL-2B, EGCD adds 9.39 points over greedy decoding and 3.11 over universal CD+APC, the only gain over CD that survives a McNemar test</w:t>
      </w:r>
      <w:r>
        <w:t xml:space="preserve"> (</w:t>
      </w:r>
      <w:r>
        <w:rPr>
          <w:sz w:val="21"/>
        </w:rPr>
        <w:t>Dietterich, 1998)</w:t>
      </w:r>
      <w:r w:rsidRPr="00767176">
        <w:t xml:space="preserve"> on paired items (p = 0.002); </w:t>
      </w:r>
      <w:r w:rsidRPr="00CB44A0">
        <w:t>Phi-3-Vision-4.2B gains 7.31. On Phi-3-Vision-4.2B, SmolVLM2-2.2B, and Idefics2-8B the gap to CD sits inside sampling noise (p &gt; 0.99)</w:t>
      </w:r>
      <w:r w:rsidRPr="00767176">
        <w:t>.</w:t>
      </w:r>
      <w:r>
        <w:t xml:space="preserve"> </w:t>
      </w:r>
      <w:r w:rsidRPr="00767176">
        <w:t xml:space="preserve">The VCD and SID rows underline the same point from the outside. VCD, whose amateur is a noised image, is the strongest single method on SmolVLM2-2.2B (70.72, p = 0.032 over universal CD+APC), yet on Qwen2-VL-2B, where the headroom is largest, it does not change a single held-out answer; SID, whose amateur is the model's own shallow layer, </w:t>
      </w:r>
      <w:r w:rsidRPr="00CB44A0">
        <w:t>stays within 0.7 points of the greedy baseline on every model and flips no answer at all on Qwen2-VL-2B, Idefics2-8B, or LLaVA-1.5-7B</w:t>
      </w:r>
      <w:r w:rsidRPr="00767176">
        <w:t>. A universal amateur helps where its bias happens to match the model's failure mode and is inert where it does not; the gate is what ties the corrective pathway to the queries that need it.</w:t>
      </w:r>
    </w:p>
    <w:p w14:paraId="5AF20A04" w14:textId="77777777" w:rsidR="00435EBB" w:rsidRDefault="00435EBB" w:rsidP="00435EBB">
      <w:pPr>
        <w:spacing w:after="120" w:line="360" w:lineRule="auto"/>
        <w:jc w:val="both"/>
      </w:pPr>
      <w:r>
        <w:t xml:space="preserve">The sweep shows what the routing decision is actually doing. For Qwen2-VL-2B, </w:t>
      </w:r>
      <w:r w:rsidRPr="001C7B59">
        <w:t>balanced accuracy climbs to its peak at the selected threshold (evaluated on the held-out half in Table 1), as more uncertain queries get sent to System 2 (Figure 5).</w:t>
      </w:r>
      <w:r>
        <w:t xml:space="preserve"> Beyond 0.70 the curve slides back down toward the greedy baseline: a gate set too high lets real conflicts through, and Visual Inertia survives untouched. The response traces a hill, and where the summit sits tracks each model's entropy distribution, which is why no single τ can serve all seven models.</w:t>
      </w:r>
    </w:p>
    <w:p w14:paraId="136ED564" w14:textId="127714D8" w:rsidR="00435EBB" w:rsidRDefault="00435EBB" w:rsidP="00435EBB">
      <w:r>
        <w:lastRenderedPageBreak/>
        <w:t xml:space="preserve">The flat side of the pattern belongs to the structurally sound models. </w:t>
      </w:r>
      <w:r w:rsidRPr="002D13A6">
        <w:t>Idefics2-8B never leaves a 0.7-point band anywhere in the sweep (Figure 6)</w:t>
      </w:r>
      <w:r>
        <w:t xml:space="preserve">, which says its first-token entropy stays under the conflict threshold in normal operation, so the costlier contrastive pass runs only when there is genuine trouble. </w:t>
      </w:r>
      <w:r w:rsidRPr="00492CCA">
        <w:t xml:space="preserve">Figure 7 maps the full sweep for all seven models, and the complete tuning-half numbers </w:t>
      </w:r>
      <w:r>
        <w:t>are given</w:t>
      </w:r>
      <w:r w:rsidRPr="00492CCA">
        <w:t xml:space="preserve"> in Appendix A</w:t>
      </w:r>
      <w:r>
        <w:t>. Together the two views show a gate that prices the intervention correctly in both directions: it pays for contrast where conflict exists and declines to pay where none does, holding both fluency and inference cost steady.</w:t>
      </w:r>
    </w:p>
    <w:sectPr w:rsidR="00435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BB"/>
    <w:rsid w:val="00123B81"/>
    <w:rsid w:val="003C3621"/>
    <w:rsid w:val="003D40EC"/>
    <w:rsid w:val="00435EBB"/>
    <w:rsid w:val="00C90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3EDA"/>
  <w15:chartTrackingRefBased/>
  <w15:docId w15:val="{1304D8BE-8900-4A57-B17B-15A896087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EBB"/>
    <w:rPr>
      <w:rFonts w:eastAsiaTheme="majorEastAsia" w:cstheme="majorBidi"/>
      <w:color w:val="272727" w:themeColor="text1" w:themeTint="D8"/>
    </w:rPr>
  </w:style>
  <w:style w:type="paragraph" w:styleId="Title">
    <w:name w:val="Title"/>
    <w:basedOn w:val="Normal"/>
    <w:next w:val="Normal"/>
    <w:link w:val="TitleChar"/>
    <w:uiPriority w:val="10"/>
    <w:qFormat/>
    <w:rsid w:val="00435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EBB"/>
    <w:pPr>
      <w:spacing w:before="160"/>
      <w:jc w:val="center"/>
    </w:pPr>
    <w:rPr>
      <w:i/>
      <w:iCs/>
      <w:color w:val="404040" w:themeColor="text1" w:themeTint="BF"/>
    </w:rPr>
  </w:style>
  <w:style w:type="character" w:customStyle="1" w:styleId="QuoteChar">
    <w:name w:val="Quote Char"/>
    <w:basedOn w:val="DefaultParagraphFont"/>
    <w:link w:val="Quote"/>
    <w:uiPriority w:val="29"/>
    <w:rsid w:val="00435EBB"/>
    <w:rPr>
      <w:i/>
      <w:iCs/>
      <w:color w:val="404040" w:themeColor="text1" w:themeTint="BF"/>
    </w:rPr>
  </w:style>
  <w:style w:type="paragraph" w:styleId="ListParagraph">
    <w:name w:val="List Paragraph"/>
    <w:basedOn w:val="Normal"/>
    <w:qFormat/>
    <w:rsid w:val="00435EBB"/>
    <w:pPr>
      <w:ind w:left="720"/>
      <w:contextualSpacing/>
    </w:pPr>
  </w:style>
  <w:style w:type="character" w:styleId="IntenseEmphasis">
    <w:name w:val="Intense Emphasis"/>
    <w:basedOn w:val="DefaultParagraphFont"/>
    <w:uiPriority w:val="21"/>
    <w:qFormat/>
    <w:rsid w:val="00435EBB"/>
    <w:rPr>
      <w:i/>
      <w:iCs/>
      <w:color w:val="0F4761" w:themeColor="accent1" w:themeShade="BF"/>
    </w:rPr>
  </w:style>
  <w:style w:type="paragraph" w:styleId="IntenseQuote">
    <w:name w:val="Intense Quote"/>
    <w:basedOn w:val="Normal"/>
    <w:next w:val="Normal"/>
    <w:link w:val="IntenseQuoteChar"/>
    <w:uiPriority w:val="30"/>
    <w:qFormat/>
    <w:rsid w:val="00435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EBB"/>
    <w:rPr>
      <w:i/>
      <w:iCs/>
      <w:color w:val="0F4761" w:themeColor="accent1" w:themeShade="BF"/>
    </w:rPr>
  </w:style>
  <w:style w:type="character" w:styleId="IntenseReference">
    <w:name w:val="Intense Reference"/>
    <w:basedOn w:val="DefaultParagraphFont"/>
    <w:uiPriority w:val="32"/>
    <w:qFormat/>
    <w:rsid w:val="00435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Ch</dc:creator>
  <cp:keywords/>
  <dc:description/>
  <cp:lastModifiedBy>Farhan Ch</cp:lastModifiedBy>
  <cp:revision>1</cp:revision>
  <dcterms:created xsi:type="dcterms:W3CDTF">2026-09-15T08:19:00Z</dcterms:created>
  <dcterms:modified xsi:type="dcterms:W3CDTF">2026-09-15T08:23:00Z</dcterms:modified>
</cp:coreProperties>
</file>