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2A33"/>
          <w:sz w:val="38"/>
        </w:rPr>
        <w:t>EGCD - 10th Draft Review and Fix List</w:t>
      </w:r>
    </w:p>
    <w:p>
      <w:pPr>
        <w:spacing w:after="40"/>
      </w:pPr>
      <w:r>
        <w:rPr>
          <w:b w:val="0"/>
          <w:i w:val="0"/>
          <w:color w:val="5F6B7A"/>
          <w:sz w:val="19"/>
        </w:rPr>
        <w:t>Paper_AI_done.docx (main branch) · prepared 13 September 2026</w:t>
      </w:r>
    </w:p>
    <w:p>
      <w:pPr>
        <w:spacing w:after="200"/>
      </w:pPr>
      <w:r>
        <w:rPr>
          <w:b w:val="0"/>
          <w:i w:val="0"/>
          <w:color w:val="5F6B7A"/>
          <w:sz w:val="19"/>
        </w:rPr>
        <w:t>Companion files already on GitHub: captions.docx (one-line captions to paste) · table.docx (replacement Appendix A table)</w:t>
      </w:r>
    </w:p>
    <w:p>
      <w:pPr>
        <w:pStyle w:val="Heading1"/>
      </w:pPr>
      <w:r>
        <w:rPr>
          <w:b w:val="0"/>
          <w:i w:val="0"/>
        </w:rPr>
        <w:t>0. How to use this file</w:t>
      </w:r>
    </w:p>
    <w:p>
      <w:r>
        <w:rPr>
          <w:b w:val="0"/>
          <w:i w:val="0"/>
        </w:rPr>
        <w:t>Work through the sections in order; every instruction quotes enough of the current sentence for Ctrl+F to land on the right spot. Sections 2-6 are structural (they change what the reader sees); Sections 7-11 are sentence-level polish. Section 12 lists things that look wrong but are correct - do not change them. Section 13 is the final checklist and the publish-readiness verdict. Nothing here requires new experiments: every number quoted traces to the results archive already behind Table 1, the figures, and table.docx.</w:t>
      </w:r>
    </w:p>
    <w:p>
      <w:pPr>
        <w:pStyle w:val="Heading1"/>
      </w:pPr>
      <w:r>
        <w:rPr>
          <w:b w:val="0"/>
          <w:i w:val="0"/>
        </w:rPr>
        <w:t>1. Verdict in one page</w:t>
      </w:r>
    </w:p>
    <w:p>
      <w:r>
        <w:rPr>
          <w:b w:val="0"/>
          <w:i w:val="0"/>
        </w:rPr>
        <w:t>The good news first: the supervisor-review round is textually closed. All four required integration edits (E1-E4), the McNemar claim (E5), the trade-off rewording (E6), the activation-rate and shuffled-routing control (E8), the shared-threshold ablation (E9), and the honest Contribution 1 (E10) are in the draft, and the five new baselines figures (2, 3, 4, 5, 6, 7) plus both appendix figures are embedded in their latest versions. The figure set is complete and current with one exception: Appendix Figure A2a (the sweep heatmap) was never inserted - only 9 of the 10 figures are in the file.</w:t>
      </w:r>
    </w:p>
    <w:p/>
    <w:p>
      <w:r>
        <w:rPr>
          <w:b/>
          <w:i w:val="0"/>
        </w:rPr>
        <w:t xml:space="preserve">The blocking problem is the results table. </w:t>
      </w:r>
      <w:r>
        <w:rPr>
          <w:b w:val="0"/>
          <w:i w:val="0"/>
        </w:rPr>
        <w:t xml:space="preserve">The Table 1 you placed is the old three-regime version (Baseline / Pure CD+APC / EGCD - 21 rows). The paper around it has already moved to the five-regime story: the abstract quotes 71.50 to 80.89 for Qwen2-VL-2B, Section 4.4 promises </w:t>
      </w:r>
      <w:r>
        <w:rPr>
          <w:b w:val="0"/>
          <w:i w:val="0"/>
        </w:rPr>
        <w:t>five decoding regimes</w:t>
      </w:r>
      <w:r>
        <w:rPr>
          <w:b w:val="0"/>
          <w:i w:val="0"/>
        </w:rPr>
        <w:t xml:space="preserve">, Section 5.1 discusses </w:t>
      </w:r>
      <w:r>
        <w:rPr>
          <w:b w:val="0"/>
          <w:i w:val="0"/>
        </w:rPr>
        <w:t>the VCD and SID rows</w:t>
      </w:r>
      <w:r>
        <w:rPr>
          <w:b w:val="0"/>
          <w:i w:val="0"/>
        </w:rPr>
        <w:t>, and Figure A1 renders the five-regime held-out numbers. The placed table contradicts every one of them (it says 71.43 to 79.45, labels CD+APC as “Pure”, and carries the retired SmolVLM2 threshold τ = 0.670). Section 2 below gives the full replacement table and its formatting rules - this is the single highest-priority fix.</w:t>
      </w:r>
    </w:p>
    <w:p/>
    <w:p>
      <w:r>
        <w:rPr>
          <w:b w:val="0"/>
          <w:i w:val="0"/>
        </w:rPr>
        <w:t xml:space="preserve">Second problem: the Appendix A table is still the old seven-model, full-set grid, while its (already updated) caption now claims “tuning half” - caption and body disagree. The replacement 21 × 6 table is table.docx on GitHub. </w:t>
      </w:r>
      <w:r>
        <w:rPr>
          <w:b w:val="0"/>
          <w:i w:val="0"/>
        </w:rPr>
        <w:t xml:space="preserve">Beyond those two tables, what remains is one missed edit (E7, the 76.78% preservation sentence), five stale figure cross-references, a handful of stale numbers, one broken sentence in the Introduction, four occurrences of the “stands down” jargon, and some duplication between Introduction and Related Work. </w:t>
      </w:r>
      <w:r>
        <w:rPr>
          <w:b w:val="0"/>
          <w:i w:val="0"/>
        </w:rPr>
        <w:t>All of it is listed below with exact find-and-replace text.</w:t>
      </w:r>
    </w:p>
    <w:p/>
    <w:p>
      <w:r>
        <w:rPr>
          <w:b w:val="0"/>
          <w:i w:val="0"/>
        </w:rPr>
        <w:t>After Sections 2-11 are applied, the paper is content-ready for your supervisor's final review: internally consistent numbers, correct figure placement and references, clean prose. What then remains is venue mechanics only - template, author block, abstract limits - which is out of scope by design.</w:t>
      </w:r>
    </w:p>
    <w:p>
      <w:pPr>
        <w:pStyle w:val="Heading1"/>
      </w:pPr>
      <w:r>
        <w:rPr>
          <w:b w:val="0"/>
          <w:i w:val="0"/>
        </w:rPr>
        <w:t>2. Critical fix - replace Table 1 (five regimes)</w:t>
      </w:r>
    </w:p>
    <w:p>
      <w:r>
        <w:rPr>
          <w:b w:val="0"/>
          <w:i w:val="0"/>
          <w:sz w:val="20"/>
        </w:rPr>
        <w:t>Why: the placed table is the retired three-regime version. Evidence of the mismatch: (a) its Qwen2-VL-2B EGCD row reads 73.85 / 85.05 / 79.45 while the abstract, Section 5.2, Figures 2-4 and Figure A1 all say 75.41 / 86.38 / 80.89; (b) it has no VCD or SID rows, yet Section 5.1 was already rewritten to discuss them; (c) Section 4.4 and the 5.1 opener say “five decoding regimes”; (d) it labels SmolVLM2's threshold τ = 0.670, a value that survives nowhere else in the paper (the selected threshold is 0.68 everywhere else); (e) it calls the method “Pure CD+APC” while the text standardized on “Universal CD+APC”.</w:t>
      </w:r>
    </w:p>
    <w:p>
      <w:r>
        <w:rPr>
          <w:b w:val="0"/>
          <w:i w:val="0"/>
          <w:sz w:val="20"/>
        </w:rPr>
        <w:t>Replace the entire table (all 21 rows) and its caption with the following 35 rows, exactly as carried in the changes document. Values are held-out; † marks the Mistral rows from the earlier full-set run.</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882"/>
        <w:gridCol w:w="1882"/>
        <w:gridCol w:w="1882"/>
        <w:gridCol w:w="1882"/>
        <w:gridCol w:w="1882"/>
      </w:tblGrid>
      <w:tr>
        <w:trPr>
          <w:tblHeader w:val="true"/>
        </w:trPr>
        <w:tc>
          <w:tcPr>
            <w:tcW w:type="dxa" w:w="2041"/>
            <w:shd w:val="clear" w:fill="EAF1FA"/>
          </w:tcPr>
          <w:p>
            <w:pPr>
              <w:spacing w:after="40" w:line="264" w:lineRule="auto"/>
            </w:pPr>
            <w:r/>
            <w:r>
              <w:rPr>
                <w:b/>
                <w:color w:val="1F2A33"/>
                <w:sz w:val="18"/>
              </w:rPr>
              <w:t>Model</w:t>
            </w:r>
          </w:p>
        </w:tc>
        <w:tc>
          <w:tcPr>
            <w:tcW w:type="dxa" w:w="2608"/>
            <w:shd w:val="clear" w:fill="EAF1FA"/>
          </w:tcPr>
          <w:p>
            <w:pPr>
              <w:spacing w:after="40" w:line="264" w:lineRule="auto"/>
            </w:pPr>
            <w:r/>
            <w:r>
              <w:rPr>
                <w:b/>
                <w:color w:val="1F2A33"/>
                <w:sz w:val="18"/>
              </w:rPr>
              <w:t>Regime</w:t>
            </w:r>
          </w:p>
        </w:tc>
        <w:tc>
          <w:tcPr>
            <w:tcW w:type="dxa" w:w="1474"/>
            <w:shd w:val="clear" w:fill="EAF1FA"/>
          </w:tcPr>
          <w:p>
            <w:pPr>
              <w:spacing w:after="40" w:line="264" w:lineRule="auto"/>
            </w:pPr>
            <w:r/>
            <w:r>
              <w:rPr>
                <w:b/>
                <w:color w:val="1F2A33"/>
                <w:sz w:val="18"/>
              </w:rPr>
              <w:t>Recall (%)</w:t>
            </w:r>
          </w:p>
        </w:tc>
        <w:tc>
          <w:tcPr>
            <w:tcW w:type="dxa" w:w="1701"/>
            <w:shd w:val="clear" w:fill="EAF1FA"/>
          </w:tcPr>
          <w:p>
            <w:pPr>
              <w:spacing w:after="40" w:line="264" w:lineRule="auto"/>
            </w:pPr>
            <w:r/>
            <w:r>
              <w:rPr>
                <w:b/>
                <w:color w:val="1F2A33"/>
                <w:sz w:val="18"/>
              </w:rPr>
              <w:t>Specificity (%)</w:t>
            </w:r>
          </w:p>
        </w:tc>
        <w:tc>
          <w:tcPr>
            <w:tcW w:type="dxa" w:w="1587"/>
            <w:shd w:val="clear" w:fill="EAF1FA"/>
          </w:tcPr>
          <w:p>
            <w:pPr>
              <w:spacing w:after="40" w:line="264" w:lineRule="auto"/>
            </w:pPr>
            <w:r/>
            <w:r>
              <w:rPr>
                <w:b/>
                <w:color w:val="1F2A33"/>
                <w:sz w:val="18"/>
              </w:rPr>
              <w:t>Bal. Acc. (%)</w:t>
            </w:r>
          </w:p>
        </w:tc>
      </w:tr>
      <w:tr>
        <w:tc>
          <w:tcPr>
            <w:tcW w:type="dxa" w:w="2041"/>
          </w:tcPr>
          <w:p>
            <w:pPr>
              <w:spacing w:after="40" w:line="269" w:lineRule="auto"/>
            </w:pPr>
            <w:r/>
            <w:r>
              <w:rPr>
                <w:sz w:val="18"/>
              </w:rPr>
              <w:t>Qwen2-VL-2B</w:t>
            </w:r>
          </w:p>
        </w:tc>
        <w:tc>
          <w:tcPr>
            <w:tcW w:type="dxa" w:w="2608"/>
          </w:tcPr>
          <w:p>
            <w:pPr>
              <w:spacing w:after="40" w:line="269" w:lineRule="auto"/>
            </w:pPr>
            <w:r/>
            <w:r>
              <w:rPr>
                <w:sz w:val="18"/>
              </w:rPr>
              <w:t>Greedy baseline</w:t>
            </w:r>
          </w:p>
        </w:tc>
        <w:tc>
          <w:tcPr>
            <w:tcW w:type="dxa" w:w="1474"/>
          </w:tcPr>
          <w:p>
            <w:pPr>
              <w:spacing w:after="40" w:line="269" w:lineRule="auto"/>
            </w:pPr>
            <w:r/>
            <w:r>
              <w:rPr>
                <w:sz w:val="18"/>
              </w:rPr>
              <w:t>49.39</w:t>
            </w:r>
          </w:p>
        </w:tc>
        <w:tc>
          <w:tcPr>
            <w:tcW w:type="dxa" w:w="1701"/>
          </w:tcPr>
          <w:p>
            <w:pPr>
              <w:spacing w:after="40" w:line="269" w:lineRule="auto"/>
            </w:pPr>
            <w:r/>
            <w:r>
              <w:rPr>
                <w:sz w:val="18"/>
              </w:rPr>
              <w:t>93.62</w:t>
            </w:r>
          </w:p>
        </w:tc>
        <w:tc>
          <w:tcPr>
            <w:tcW w:type="dxa" w:w="1587"/>
          </w:tcPr>
          <w:p>
            <w:pPr>
              <w:spacing w:after="40" w:line="269" w:lineRule="auto"/>
            </w:pPr>
            <w:r/>
            <w:r>
              <w:rPr>
                <w:sz w:val="18"/>
              </w:rPr>
              <w:t>71.50</w:t>
            </w:r>
          </w:p>
        </w:tc>
      </w:tr>
      <w:tr>
        <w:tc>
          <w:tcPr>
            <w:tcW w:type="dxa" w:w="2041"/>
          </w:tcPr>
          <w:p>
            <w:pPr>
              <w:spacing w:after="40" w:line="269" w:lineRule="auto"/>
            </w:pPr>
            <w:r/>
            <w:r>
              <w:rPr>
                <w:sz w:val="18"/>
              </w:rPr>
            </w:r>
          </w:p>
        </w:tc>
        <w:tc>
          <w:tcPr>
            <w:tcW w:type="dxa" w:w="2608"/>
          </w:tcPr>
          <w:p>
            <w:pPr>
              <w:spacing w:after="40" w:line="269" w:lineRule="auto"/>
            </w:pPr>
            <w:r/>
            <w:r>
              <w:rPr>
                <w:sz w:val="18"/>
              </w:rPr>
              <w:t>Universal CD+APC</w:t>
            </w:r>
          </w:p>
        </w:tc>
        <w:tc>
          <w:tcPr>
            <w:tcW w:type="dxa" w:w="1474"/>
          </w:tcPr>
          <w:p>
            <w:pPr>
              <w:spacing w:after="40" w:line="269" w:lineRule="auto"/>
            </w:pPr>
            <w:r/>
            <w:r>
              <w:rPr>
                <w:sz w:val="18"/>
              </w:rPr>
              <w:t>76.43</w:t>
            </w:r>
          </w:p>
        </w:tc>
        <w:tc>
          <w:tcPr>
            <w:tcW w:type="dxa" w:w="1701"/>
          </w:tcPr>
          <w:p>
            <w:pPr>
              <w:spacing w:after="40" w:line="269" w:lineRule="auto"/>
            </w:pPr>
            <w:r/>
            <w:r>
              <w:rPr>
                <w:sz w:val="18"/>
              </w:rPr>
              <w:t>79.13</w:t>
            </w:r>
          </w:p>
        </w:tc>
        <w:tc>
          <w:tcPr>
            <w:tcW w:type="dxa" w:w="1587"/>
          </w:tcPr>
          <w:p>
            <w:pPr>
              <w:spacing w:after="40" w:line="269" w:lineRule="auto"/>
            </w:pPr>
            <w:r/>
            <w:r>
              <w:rPr>
                <w:sz w:val="18"/>
              </w:rPr>
              <w:t>77.78</w:t>
            </w:r>
          </w:p>
        </w:tc>
      </w:tr>
      <w:tr>
        <w:tc>
          <w:tcPr>
            <w:tcW w:type="dxa" w:w="2041"/>
            <w:shd w:val="clear" w:fill="EAF6F3"/>
          </w:tcPr>
          <w:p>
            <w:pPr>
              <w:spacing w:after="40" w:line="269" w:lineRule="auto"/>
            </w:pPr>
            <w:r/>
            <w:r>
              <w:rPr>
                <w:sz w:val="18"/>
              </w:rPr>
            </w:r>
          </w:p>
        </w:tc>
        <w:tc>
          <w:tcPr>
            <w:tcW w:type="dxa" w:w="2608"/>
            <w:shd w:val="clear" w:fill="EAF6F3"/>
          </w:tcPr>
          <w:p>
            <w:pPr>
              <w:spacing w:after="40" w:line="269" w:lineRule="auto"/>
            </w:pPr>
            <w:r/>
            <w:r>
              <w:rPr>
                <w:sz w:val="18"/>
              </w:rPr>
              <w:t>EGCD (ours) τ = 0.70</w:t>
            </w:r>
          </w:p>
        </w:tc>
        <w:tc>
          <w:tcPr>
            <w:tcW w:type="dxa" w:w="1474"/>
            <w:shd w:val="clear" w:fill="EAF6F3"/>
          </w:tcPr>
          <w:p>
            <w:pPr>
              <w:spacing w:after="40" w:line="269" w:lineRule="auto"/>
            </w:pPr>
            <w:r/>
            <w:r>
              <w:rPr>
                <w:sz w:val="18"/>
              </w:rPr>
              <w:t>75.41</w:t>
            </w:r>
          </w:p>
        </w:tc>
        <w:tc>
          <w:tcPr>
            <w:tcW w:type="dxa" w:w="1701"/>
            <w:shd w:val="clear" w:fill="EAF6F3"/>
          </w:tcPr>
          <w:p>
            <w:pPr>
              <w:spacing w:after="40" w:line="269" w:lineRule="auto"/>
            </w:pPr>
            <w:r/>
            <w:r>
              <w:rPr>
                <w:sz w:val="18"/>
              </w:rPr>
              <w:t>86.38</w:t>
            </w:r>
          </w:p>
        </w:tc>
        <w:tc>
          <w:tcPr>
            <w:tcW w:type="dxa" w:w="1587"/>
            <w:shd w:val="clear" w:fill="EAF6F3"/>
          </w:tcPr>
          <w:p>
            <w:pPr>
              <w:spacing w:after="40" w:line="269" w:lineRule="auto"/>
            </w:pPr>
            <w:r/>
            <w:r>
              <w:rPr>
                <w:sz w:val="18"/>
              </w:rPr>
              <w:t>80.89</w:t>
            </w:r>
          </w:p>
        </w:tc>
      </w:tr>
      <w:tr>
        <w:tc>
          <w:tcPr>
            <w:tcW w:type="dxa" w:w="2041"/>
          </w:tcPr>
          <w:p>
            <w:pPr>
              <w:spacing w:after="40" w:line="269" w:lineRule="auto"/>
            </w:pPr>
            <w:r/>
            <w:r>
              <w:rPr>
                <w:sz w:val="18"/>
              </w:rPr>
            </w:r>
          </w:p>
        </w:tc>
        <w:tc>
          <w:tcPr>
            <w:tcW w:type="dxa" w:w="2608"/>
          </w:tcPr>
          <w:p>
            <w:pPr>
              <w:spacing w:after="40" w:line="269" w:lineRule="auto"/>
            </w:pPr>
            <w:r/>
            <w:r>
              <w:rPr>
                <w:sz w:val="18"/>
              </w:rPr>
              <w:t>VCD</w:t>
            </w:r>
          </w:p>
        </w:tc>
        <w:tc>
          <w:tcPr>
            <w:tcW w:type="dxa" w:w="1474"/>
          </w:tcPr>
          <w:p>
            <w:pPr>
              <w:spacing w:after="40" w:line="269" w:lineRule="auto"/>
            </w:pPr>
            <w:r/>
            <w:r>
              <w:rPr>
                <w:sz w:val="18"/>
              </w:rPr>
              <w:t>49.39</w:t>
            </w:r>
          </w:p>
        </w:tc>
        <w:tc>
          <w:tcPr>
            <w:tcW w:type="dxa" w:w="1701"/>
          </w:tcPr>
          <w:p>
            <w:pPr>
              <w:spacing w:after="40" w:line="269" w:lineRule="auto"/>
            </w:pPr>
            <w:r/>
            <w:r>
              <w:rPr>
                <w:sz w:val="18"/>
              </w:rPr>
              <w:t>93.62</w:t>
            </w:r>
          </w:p>
        </w:tc>
        <w:tc>
          <w:tcPr>
            <w:tcW w:type="dxa" w:w="1587"/>
          </w:tcPr>
          <w:p>
            <w:pPr>
              <w:spacing w:after="40" w:line="269" w:lineRule="auto"/>
            </w:pPr>
            <w:r/>
            <w:r>
              <w:rPr>
                <w:sz w:val="18"/>
              </w:rPr>
              <w:t>71.50</w:t>
            </w:r>
          </w:p>
        </w:tc>
      </w:tr>
      <w:tr>
        <w:tc>
          <w:tcPr>
            <w:tcW w:type="dxa" w:w="2041"/>
          </w:tcPr>
          <w:p>
            <w:pPr>
              <w:spacing w:after="40" w:line="269" w:lineRule="auto"/>
            </w:pPr>
            <w:r/>
            <w:r>
              <w:rPr>
                <w:sz w:val="18"/>
              </w:rPr>
            </w:r>
          </w:p>
        </w:tc>
        <w:tc>
          <w:tcPr>
            <w:tcW w:type="dxa" w:w="2608"/>
          </w:tcPr>
          <w:p>
            <w:pPr>
              <w:spacing w:after="40" w:line="269" w:lineRule="auto"/>
            </w:pPr>
            <w:r/>
            <w:r>
              <w:rPr>
                <w:sz w:val="18"/>
              </w:rPr>
              <w:t>SID</w:t>
            </w:r>
          </w:p>
        </w:tc>
        <w:tc>
          <w:tcPr>
            <w:tcW w:type="dxa" w:w="1474"/>
          </w:tcPr>
          <w:p>
            <w:pPr>
              <w:spacing w:after="40" w:line="269" w:lineRule="auto"/>
            </w:pPr>
            <w:r/>
            <w:r>
              <w:rPr>
                <w:sz w:val="18"/>
              </w:rPr>
              <w:t>49.39</w:t>
            </w:r>
          </w:p>
        </w:tc>
        <w:tc>
          <w:tcPr>
            <w:tcW w:type="dxa" w:w="1701"/>
          </w:tcPr>
          <w:p>
            <w:pPr>
              <w:spacing w:after="40" w:line="269" w:lineRule="auto"/>
            </w:pPr>
            <w:r/>
            <w:r>
              <w:rPr>
                <w:sz w:val="18"/>
              </w:rPr>
              <w:t>93.62</w:t>
            </w:r>
          </w:p>
        </w:tc>
        <w:tc>
          <w:tcPr>
            <w:tcW w:type="dxa" w:w="1587"/>
          </w:tcPr>
          <w:p>
            <w:pPr>
              <w:spacing w:after="40" w:line="269" w:lineRule="auto"/>
            </w:pPr>
            <w:r/>
            <w:r>
              <w:rPr>
                <w:sz w:val="18"/>
              </w:rPr>
              <w:t>71.50</w:t>
            </w:r>
          </w:p>
        </w:tc>
      </w:tr>
      <w:tr>
        <w:tc>
          <w:tcPr>
            <w:tcW w:type="dxa" w:w="2041"/>
          </w:tcPr>
          <w:p>
            <w:pPr>
              <w:spacing w:after="40" w:line="269" w:lineRule="auto"/>
            </w:pPr>
            <w:r/>
            <w:r>
              <w:rPr>
                <w:sz w:val="18"/>
              </w:rPr>
              <w:t>Phi-3-Vision-4.2B</w:t>
            </w:r>
          </w:p>
        </w:tc>
        <w:tc>
          <w:tcPr>
            <w:tcW w:type="dxa" w:w="2608"/>
          </w:tcPr>
          <w:p>
            <w:pPr>
              <w:spacing w:after="40" w:line="269" w:lineRule="auto"/>
            </w:pPr>
            <w:r/>
            <w:r>
              <w:rPr>
                <w:sz w:val="18"/>
              </w:rPr>
              <w:t>Greedy baseline</w:t>
            </w:r>
          </w:p>
        </w:tc>
        <w:tc>
          <w:tcPr>
            <w:tcW w:type="dxa" w:w="1474"/>
          </w:tcPr>
          <w:p>
            <w:pPr>
              <w:spacing w:after="40" w:line="269" w:lineRule="auto"/>
            </w:pPr>
            <w:r/>
            <w:r>
              <w:rPr>
                <w:sz w:val="18"/>
              </w:rPr>
              <w:t>48.77</w:t>
            </w:r>
          </w:p>
        </w:tc>
        <w:tc>
          <w:tcPr>
            <w:tcW w:type="dxa" w:w="1701"/>
          </w:tcPr>
          <w:p>
            <w:pPr>
              <w:spacing w:after="40" w:line="269" w:lineRule="auto"/>
            </w:pPr>
            <w:r/>
            <w:r>
              <w:rPr>
                <w:sz w:val="18"/>
              </w:rPr>
              <w:t>91.59</w:t>
            </w:r>
          </w:p>
        </w:tc>
        <w:tc>
          <w:tcPr>
            <w:tcW w:type="dxa" w:w="1587"/>
          </w:tcPr>
          <w:p>
            <w:pPr>
              <w:spacing w:after="40" w:line="269" w:lineRule="auto"/>
            </w:pPr>
            <w:r/>
            <w:r>
              <w:rPr>
                <w:sz w:val="18"/>
              </w:rPr>
              <w:t>70.18</w:t>
            </w:r>
          </w:p>
        </w:tc>
      </w:tr>
      <w:tr>
        <w:tc>
          <w:tcPr>
            <w:tcW w:type="dxa" w:w="2041"/>
          </w:tcPr>
          <w:p>
            <w:pPr>
              <w:spacing w:after="40" w:line="269" w:lineRule="auto"/>
            </w:pPr>
            <w:r/>
            <w:r>
              <w:rPr>
                <w:sz w:val="18"/>
              </w:rPr>
            </w:r>
          </w:p>
        </w:tc>
        <w:tc>
          <w:tcPr>
            <w:tcW w:type="dxa" w:w="2608"/>
          </w:tcPr>
          <w:p>
            <w:pPr>
              <w:spacing w:after="40" w:line="269" w:lineRule="auto"/>
            </w:pPr>
            <w:r/>
            <w:r>
              <w:rPr>
                <w:sz w:val="18"/>
              </w:rPr>
              <w:t>Universal CD+APC</w:t>
            </w:r>
          </w:p>
        </w:tc>
        <w:tc>
          <w:tcPr>
            <w:tcW w:type="dxa" w:w="1474"/>
          </w:tcPr>
          <w:p>
            <w:pPr>
              <w:spacing w:after="40" w:line="269" w:lineRule="auto"/>
            </w:pPr>
            <w:r/>
            <w:r>
              <w:rPr>
                <w:sz w:val="18"/>
              </w:rPr>
              <w:t>76.02</w:t>
            </w:r>
          </w:p>
        </w:tc>
        <w:tc>
          <w:tcPr>
            <w:tcW w:type="dxa" w:w="1701"/>
          </w:tcPr>
          <w:p>
            <w:pPr>
              <w:spacing w:after="40" w:line="269" w:lineRule="auto"/>
            </w:pPr>
            <w:r/>
            <w:r>
              <w:rPr>
                <w:sz w:val="18"/>
              </w:rPr>
              <w:t>78.84</w:t>
            </w:r>
          </w:p>
        </w:tc>
        <w:tc>
          <w:tcPr>
            <w:tcW w:type="dxa" w:w="1587"/>
          </w:tcPr>
          <w:p>
            <w:pPr>
              <w:spacing w:after="40" w:line="269" w:lineRule="auto"/>
            </w:pPr>
            <w:r/>
            <w:r>
              <w:rPr>
                <w:sz w:val="18"/>
              </w:rPr>
              <w:t>77.43</w:t>
            </w:r>
          </w:p>
        </w:tc>
      </w:tr>
      <w:tr>
        <w:tc>
          <w:tcPr>
            <w:tcW w:type="dxa" w:w="2041"/>
            <w:shd w:val="clear" w:fill="EAF6F3"/>
          </w:tcPr>
          <w:p>
            <w:pPr>
              <w:spacing w:after="40" w:line="269" w:lineRule="auto"/>
            </w:pPr>
            <w:r/>
            <w:r>
              <w:rPr>
                <w:sz w:val="18"/>
              </w:rPr>
            </w:r>
          </w:p>
        </w:tc>
        <w:tc>
          <w:tcPr>
            <w:tcW w:type="dxa" w:w="2608"/>
            <w:shd w:val="clear" w:fill="EAF6F3"/>
          </w:tcPr>
          <w:p>
            <w:pPr>
              <w:spacing w:after="40" w:line="269" w:lineRule="auto"/>
            </w:pPr>
            <w:r/>
            <w:r>
              <w:rPr>
                <w:sz w:val="18"/>
              </w:rPr>
              <w:t>EGCD (ours) τ = 0.62</w:t>
            </w:r>
          </w:p>
        </w:tc>
        <w:tc>
          <w:tcPr>
            <w:tcW w:type="dxa" w:w="1474"/>
            <w:shd w:val="clear" w:fill="EAF6F3"/>
          </w:tcPr>
          <w:p>
            <w:pPr>
              <w:spacing w:after="40" w:line="269" w:lineRule="auto"/>
            </w:pPr>
            <w:r/>
            <w:r>
              <w:rPr>
                <w:sz w:val="18"/>
              </w:rPr>
              <w:t>71.52</w:t>
            </w:r>
          </w:p>
        </w:tc>
        <w:tc>
          <w:tcPr>
            <w:tcW w:type="dxa" w:w="1701"/>
            <w:shd w:val="clear" w:fill="EAF6F3"/>
          </w:tcPr>
          <w:p>
            <w:pPr>
              <w:spacing w:after="40" w:line="269" w:lineRule="auto"/>
            </w:pPr>
            <w:r/>
            <w:r>
              <w:rPr>
                <w:sz w:val="18"/>
              </w:rPr>
              <w:t>83.48</w:t>
            </w:r>
          </w:p>
        </w:tc>
        <w:tc>
          <w:tcPr>
            <w:tcW w:type="dxa" w:w="1587"/>
            <w:shd w:val="clear" w:fill="EAF6F3"/>
          </w:tcPr>
          <w:p>
            <w:pPr>
              <w:spacing w:after="40" w:line="269" w:lineRule="auto"/>
            </w:pPr>
            <w:r/>
            <w:r>
              <w:rPr>
                <w:sz w:val="18"/>
              </w:rPr>
              <w:t>77.50</w:t>
            </w:r>
          </w:p>
        </w:tc>
      </w:tr>
      <w:tr>
        <w:tc>
          <w:tcPr>
            <w:tcW w:type="dxa" w:w="2041"/>
          </w:tcPr>
          <w:p>
            <w:pPr>
              <w:spacing w:after="40" w:line="269" w:lineRule="auto"/>
            </w:pPr>
            <w:r/>
            <w:r>
              <w:rPr>
                <w:sz w:val="18"/>
              </w:rPr>
            </w:r>
          </w:p>
        </w:tc>
        <w:tc>
          <w:tcPr>
            <w:tcW w:type="dxa" w:w="2608"/>
          </w:tcPr>
          <w:p>
            <w:pPr>
              <w:spacing w:after="40" w:line="269" w:lineRule="auto"/>
            </w:pPr>
            <w:r/>
            <w:r>
              <w:rPr>
                <w:sz w:val="18"/>
              </w:rPr>
              <w:t>VCD</w:t>
            </w:r>
          </w:p>
        </w:tc>
        <w:tc>
          <w:tcPr>
            <w:tcW w:type="dxa" w:w="1474"/>
          </w:tcPr>
          <w:p>
            <w:pPr>
              <w:spacing w:after="40" w:line="269" w:lineRule="auto"/>
            </w:pPr>
            <w:r/>
            <w:r>
              <w:rPr>
                <w:sz w:val="18"/>
              </w:rPr>
              <w:t>44.47</w:t>
            </w:r>
          </w:p>
        </w:tc>
        <w:tc>
          <w:tcPr>
            <w:tcW w:type="dxa" w:w="1701"/>
          </w:tcPr>
          <w:p>
            <w:pPr>
              <w:spacing w:after="40" w:line="269" w:lineRule="auto"/>
            </w:pPr>
            <w:r/>
            <w:r>
              <w:rPr>
                <w:sz w:val="18"/>
              </w:rPr>
              <w:t>92.17</w:t>
            </w:r>
          </w:p>
        </w:tc>
        <w:tc>
          <w:tcPr>
            <w:tcW w:type="dxa" w:w="1587"/>
          </w:tcPr>
          <w:p>
            <w:pPr>
              <w:spacing w:after="40" w:line="269" w:lineRule="auto"/>
            </w:pPr>
            <w:r/>
            <w:r>
              <w:rPr>
                <w:sz w:val="18"/>
              </w:rPr>
              <w:t>68.32</w:t>
            </w:r>
          </w:p>
        </w:tc>
      </w:tr>
      <w:tr>
        <w:tc>
          <w:tcPr>
            <w:tcW w:type="dxa" w:w="2041"/>
          </w:tcPr>
          <w:p>
            <w:pPr>
              <w:spacing w:after="40" w:line="269" w:lineRule="auto"/>
            </w:pPr>
            <w:r/>
            <w:r>
              <w:rPr>
                <w:sz w:val="18"/>
              </w:rPr>
            </w:r>
          </w:p>
        </w:tc>
        <w:tc>
          <w:tcPr>
            <w:tcW w:type="dxa" w:w="2608"/>
          </w:tcPr>
          <w:p>
            <w:pPr>
              <w:spacing w:after="40" w:line="269" w:lineRule="auto"/>
            </w:pPr>
            <w:r/>
            <w:r>
              <w:rPr>
                <w:sz w:val="18"/>
              </w:rPr>
              <w:t>SID</w:t>
            </w:r>
          </w:p>
        </w:tc>
        <w:tc>
          <w:tcPr>
            <w:tcW w:type="dxa" w:w="1474"/>
          </w:tcPr>
          <w:p>
            <w:pPr>
              <w:spacing w:after="40" w:line="269" w:lineRule="auto"/>
            </w:pPr>
            <w:r/>
            <w:r>
              <w:rPr>
                <w:sz w:val="18"/>
              </w:rPr>
              <w:t>45.70</w:t>
            </w:r>
          </w:p>
        </w:tc>
        <w:tc>
          <w:tcPr>
            <w:tcW w:type="dxa" w:w="1701"/>
          </w:tcPr>
          <w:p>
            <w:pPr>
              <w:spacing w:after="40" w:line="269" w:lineRule="auto"/>
            </w:pPr>
            <w:r/>
            <w:r>
              <w:rPr>
                <w:sz w:val="18"/>
              </w:rPr>
              <w:t>93.91</w:t>
            </w:r>
          </w:p>
        </w:tc>
        <w:tc>
          <w:tcPr>
            <w:tcW w:type="dxa" w:w="1587"/>
          </w:tcPr>
          <w:p>
            <w:pPr>
              <w:spacing w:after="40" w:line="269" w:lineRule="auto"/>
            </w:pPr>
            <w:r/>
            <w:r>
              <w:rPr>
                <w:sz w:val="18"/>
              </w:rPr>
              <w:t>69.80</w:t>
            </w:r>
          </w:p>
        </w:tc>
      </w:tr>
      <w:tr>
        <w:tc>
          <w:tcPr>
            <w:tcW w:type="dxa" w:w="2041"/>
          </w:tcPr>
          <w:p>
            <w:pPr>
              <w:spacing w:after="40" w:line="269" w:lineRule="auto"/>
            </w:pPr>
            <w:r/>
            <w:r>
              <w:rPr>
                <w:sz w:val="18"/>
              </w:rPr>
              <w:t>SmolVLM2-2.2B</w:t>
            </w:r>
          </w:p>
        </w:tc>
        <w:tc>
          <w:tcPr>
            <w:tcW w:type="dxa" w:w="2608"/>
          </w:tcPr>
          <w:p>
            <w:pPr>
              <w:spacing w:after="40" w:line="269" w:lineRule="auto"/>
            </w:pPr>
            <w:r/>
            <w:r>
              <w:rPr>
                <w:sz w:val="18"/>
              </w:rPr>
              <w:t>Greedy baseline</w:t>
            </w:r>
          </w:p>
        </w:tc>
        <w:tc>
          <w:tcPr>
            <w:tcW w:type="dxa" w:w="1474"/>
          </w:tcPr>
          <w:p>
            <w:pPr>
              <w:spacing w:after="40" w:line="269" w:lineRule="auto"/>
            </w:pPr>
            <w:r/>
            <w:r>
              <w:rPr>
                <w:sz w:val="18"/>
              </w:rPr>
              <w:t>33.40</w:t>
            </w:r>
          </w:p>
        </w:tc>
        <w:tc>
          <w:tcPr>
            <w:tcW w:type="dxa" w:w="1701"/>
          </w:tcPr>
          <w:p>
            <w:pPr>
              <w:spacing w:after="40" w:line="269" w:lineRule="auto"/>
            </w:pPr>
            <w:r/>
            <w:r>
              <w:rPr>
                <w:sz w:val="18"/>
              </w:rPr>
              <w:t>94.20</w:t>
            </w:r>
          </w:p>
        </w:tc>
        <w:tc>
          <w:tcPr>
            <w:tcW w:type="dxa" w:w="1587"/>
          </w:tcPr>
          <w:p>
            <w:pPr>
              <w:spacing w:after="40" w:line="269" w:lineRule="auto"/>
            </w:pPr>
            <w:r/>
            <w:r>
              <w:rPr>
                <w:sz w:val="18"/>
              </w:rPr>
              <w:t>63.80</w:t>
            </w:r>
          </w:p>
        </w:tc>
      </w:tr>
      <w:tr>
        <w:tc>
          <w:tcPr>
            <w:tcW w:type="dxa" w:w="2041"/>
          </w:tcPr>
          <w:p>
            <w:pPr>
              <w:spacing w:after="40" w:line="269" w:lineRule="auto"/>
            </w:pPr>
            <w:r/>
            <w:r>
              <w:rPr>
                <w:sz w:val="18"/>
              </w:rPr>
            </w:r>
          </w:p>
        </w:tc>
        <w:tc>
          <w:tcPr>
            <w:tcW w:type="dxa" w:w="2608"/>
          </w:tcPr>
          <w:p>
            <w:pPr>
              <w:spacing w:after="40" w:line="269" w:lineRule="auto"/>
            </w:pPr>
            <w:r/>
            <w:r>
              <w:rPr>
                <w:sz w:val="18"/>
              </w:rPr>
              <w:t>Universal CD+APC</w:t>
            </w:r>
          </w:p>
        </w:tc>
        <w:tc>
          <w:tcPr>
            <w:tcW w:type="dxa" w:w="1474"/>
          </w:tcPr>
          <w:p>
            <w:pPr>
              <w:spacing w:after="40" w:line="269" w:lineRule="auto"/>
            </w:pPr>
            <w:r/>
            <w:r>
              <w:rPr>
                <w:sz w:val="18"/>
              </w:rPr>
              <w:t>51.02</w:t>
            </w:r>
          </w:p>
        </w:tc>
        <w:tc>
          <w:tcPr>
            <w:tcW w:type="dxa" w:w="1701"/>
          </w:tcPr>
          <w:p>
            <w:pPr>
              <w:spacing w:after="40" w:line="269" w:lineRule="auto"/>
            </w:pPr>
            <w:r/>
            <w:r>
              <w:rPr>
                <w:sz w:val="18"/>
              </w:rPr>
              <w:t>84.93</w:t>
            </w:r>
          </w:p>
        </w:tc>
        <w:tc>
          <w:tcPr>
            <w:tcW w:type="dxa" w:w="1587"/>
          </w:tcPr>
          <w:p>
            <w:pPr>
              <w:spacing w:after="40" w:line="269" w:lineRule="auto"/>
            </w:pPr>
            <w:r/>
            <w:r>
              <w:rPr>
                <w:sz w:val="18"/>
              </w:rPr>
              <w:t>67.98</w:t>
            </w:r>
          </w:p>
        </w:tc>
      </w:tr>
      <w:tr>
        <w:tc>
          <w:tcPr>
            <w:tcW w:type="dxa" w:w="2041"/>
            <w:shd w:val="clear" w:fill="EAF6F3"/>
          </w:tcPr>
          <w:p>
            <w:pPr>
              <w:spacing w:after="40" w:line="269" w:lineRule="auto"/>
            </w:pPr>
            <w:r/>
            <w:r>
              <w:rPr>
                <w:sz w:val="18"/>
              </w:rPr>
            </w:r>
          </w:p>
        </w:tc>
        <w:tc>
          <w:tcPr>
            <w:tcW w:type="dxa" w:w="2608"/>
            <w:shd w:val="clear" w:fill="EAF6F3"/>
          </w:tcPr>
          <w:p>
            <w:pPr>
              <w:spacing w:after="40" w:line="269" w:lineRule="auto"/>
            </w:pPr>
            <w:r/>
            <w:r>
              <w:rPr>
                <w:sz w:val="18"/>
              </w:rPr>
              <w:t>EGCD (ours) τ = 0.68</w:t>
            </w:r>
          </w:p>
        </w:tc>
        <w:tc>
          <w:tcPr>
            <w:tcW w:type="dxa" w:w="1474"/>
            <w:shd w:val="clear" w:fill="EAF6F3"/>
          </w:tcPr>
          <w:p>
            <w:pPr>
              <w:spacing w:after="40" w:line="269" w:lineRule="auto"/>
            </w:pPr>
            <w:r/>
            <w:r>
              <w:rPr>
                <w:sz w:val="18"/>
              </w:rPr>
              <w:t>49.18</w:t>
            </w:r>
          </w:p>
        </w:tc>
        <w:tc>
          <w:tcPr>
            <w:tcW w:type="dxa" w:w="1701"/>
            <w:shd w:val="clear" w:fill="EAF6F3"/>
          </w:tcPr>
          <w:p>
            <w:pPr>
              <w:spacing w:after="40" w:line="269" w:lineRule="auto"/>
            </w:pPr>
            <w:r/>
            <w:r>
              <w:rPr>
                <w:sz w:val="18"/>
              </w:rPr>
              <w:t>86.96</w:t>
            </w:r>
          </w:p>
        </w:tc>
        <w:tc>
          <w:tcPr>
            <w:tcW w:type="dxa" w:w="1587"/>
            <w:shd w:val="clear" w:fill="EAF6F3"/>
          </w:tcPr>
          <w:p>
            <w:pPr>
              <w:spacing w:after="40" w:line="269" w:lineRule="auto"/>
            </w:pPr>
            <w:r/>
            <w:r>
              <w:rPr>
                <w:sz w:val="18"/>
              </w:rPr>
              <w:t>68.07</w:t>
            </w:r>
          </w:p>
        </w:tc>
      </w:tr>
      <w:tr>
        <w:tc>
          <w:tcPr>
            <w:tcW w:type="dxa" w:w="2041"/>
          </w:tcPr>
          <w:p>
            <w:pPr>
              <w:spacing w:after="40" w:line="269" w:lineRule="auto"/>
            </w:pPr>
            <w:r/>
            <w:r>
              <w:rPr>
                <w:sz w:val="18"/>
              </w:rPr>
            </w:r>
          </w:p>
        </w:tc>
        <w:tc>
          <w:tcPr>
            <w:tcW w:type="dxa" w:w="2608"/>
          </w:tcPr>
          <w:p>
            <w:pPr>
              <w:spacing w:after="40" w:line="269" w:lineRule="auto"/>
            </w:pPr>
            <w:r/>
            <w:r>
              <w:rPr>
                <w:sz w:val="18"/>
              </w:rPr>
              <w:t>VCD</w:t>
            </w:r>
          </w:p>
        </w:tc>
        <w:tc>
          <w:tcPr>
            <w:tcW w:type="dxa" w:w="1474"/>
          </w:tcPr>
          <w:p>
            <w:pPr>
              <w:spacing w:after="40" w:line="269" w:lineRule="auto"/>
            </w:pPr>
            <w:r/>
            <w:r>
              <w:rPr>
                <w:sz w:val="18"/>
              </w:rPr>
              <w:t>57.38</w:t>
            </w:r>
          </w:p>
        </w:tc>
        <w:tc>
          <w:tcPr>
            <w:tcW w:type="dxa" w:w="1701"/>
          </w:tcPr>
          <w:p>
            <w:pPr>
              <w:spacing w:after="40" w:line="269" w:lineRule="auto"/>
            </w:pPr>
            <w:r/>
            <w:r>
              <w:rPr>
                <w:sz w:val="18"/>
              </w:rPr>
              <w:t>84.06</w:t>
            </w:r>
          </w:p>
        </w:tc>
        <w:tc>
          <w:tcPr>
            <w:tcW w:type="dxa" w:w="1587"/>
          </w:tcPr>
          <w:p>
            <w:pPr>
              <w:spacing w:after="40" w:line="269" w:lineRule="auto"/>
            </w:pPr>
            <w:r/>
            <w:r>
              <w:rPr>
                <w:sz w:val="18"/>
              </w:rPr>
              <w:t>70.72</w:t>
            </w:r>
          </w:p>
        </w:tc>
      </w:tr>
      <w:tr>
        <w:tc>
          <w:tcPr>
            <w:tcW w:type="dxa" w:w="2041"/>
          </w:tcPr>
          <w:p>
            <w:pPr>
              <w:spacing w:after="40" w:line="269" w:lineRule="auto"/>
            </w:pPr>
            <w:r/>
            <w:r>
              <w:rPr>
                <w:sz w:val="18"/>
              </w:rPr>
            </w:r>
          </w:p>
        </w:tc>
        <w:tc>
          <w:tcPr>
            <w:tcW w:type="dxa" w:w="2608"/>
          </w:tcPr>
          <w:p>
            <w:pPr>
              <w:spacing w:after="40" w:line="269" w:lineRule="auto"/>
            </w:pPr>
            <w:r/>
            <w:r>
              <w:rPr>
                <w:sz w:val="18"/>
              </w:rPr>
              <w:t>SID</w:t>
            </w:r>
          </w:p>
        </w:tc>
        <w:tc>
          <w:tcPr>
            <w:tcW w:type="dxa" w:w="1474"/>
          </w:tcPr>
          <w:p>
            <w:pPr>
              <w:spacing w:after="40" w:line="269" w:lineRule="auto"/>
            </w:pPr>
            <w:r/>
            <w:r>
              <w:rPr>
                <w:sz w:val="18"/>
              </w:rPr>
              <w:t>35.04</w:t>
            </w:r>
          </w:p>
        </w:tc>
        <w:tc>
          <w:tcPr>
            <w:tcW w:type="dxa" w:w="1701"/>
          </w:tcPr>
          <w:p>
            <w:pPr>
              <w:spacing w:after="40" w:line="269" w:lineRule="auto"/>
            </w:pPr>
            <w:r/>
            <w:r>
              <w:rPr>
                <w:sz w:val="18"/>
              </w:rPr>
              <w:t>93.91</w:t>
            </w:r>
          </w:p>
        </w:tc>
        <w:tc>
          <w:tcPr>
            <w:tcW w:type="dxa" w:w="1587"/>
          </w:tcPr>
          <w:p>
            <w:pPr>
              <w:spacing w:after="40" w:line="269" w:lineRule="auto"/>
            </w:pPr>
            <w:r/>
            <w:r>
              <w:rPr>
                <w:sz w:val="18"/>
              </w:rPr>
              <w:t>64.48</w:t>
            </w:r>
          </w:p>
        </w:tc>
      </w:tr>
      <w:tr>
        <w:tc>
          <w:tcPr>
            <w:tcW w:type="dxa" w:w="2041"/>
          </w:tcPr>
          <w:p>
            <w:pPr>
              <w:spacing w:after="40" w:line="269" w:lineRule="auto"/>
            </w:pPr>
            <w:r/>
            <w:r>
              <w:rPr>
                <w:sz w:val="18"/>
              </w:rPr>
              <w:t>Qwen2.5-VL-7B</w:t>
            </w:r>
          </w:p>
        </w:tc>
        <w:tc>
          <w:tcPr>
            <w:tcW w:type="dxa" w:w="2608"/>
          </w:tcPr>
          <w:p>
            <w:pPr>
              <w:spacing w:after="40" w:line="269" w:lineRule="auto"/>
            </w:pPr>
            <w:r/>
            <w:r>
              <w:rPr>
                <w:sz w:val="18"/>
              </w:rPr>
              <w:t>Greedy baseline</w:t>
            </w:r>
          </w:p>
        </w:tc>
        <w:tc>
          <w:tcPr>
            <w:tcW w:type="dxa" w:w="1474"/>
          </w:tcPr>
          <w:p>
            <w:pPr>
              <w:spacing w:after="40" w:line="269" w:lineRule="auto"/>
            </w:pPr>
            <w:r/>
            <w:r>
              <w:rPr>
                <w:sz w:val="18"/>
              </w:rPr>
              <w:t>62.30</w:t>
            </w:r>
          </w:p>
        </w:tc>
        <w:tc>
          <w:tcPr>
            <w:tcW w:type="dxa" w:w="1701"/>
          </w:tcPr>
          <w:p>
            <w:pPr>
              <w:spacing w:after="40" w:line="269" w:lineRule="auto"/>
            </w:pPr>
            <w:r/>
            <w:r>
              <w:rPr>
                <w:sz w:val="18"/>
              </w:rPr>
              <w:t>99.42</w:t>
            </w:r>
          </w:p>
        </w:tc>
        <w:tc>
          <w:tcPr>
            <w:tcW w:type="dxa" w:w="1587"/>
          </w:tcPr>
          <w:p>
            <w:pPr>
              <w:spacing w:after="40" w:line="269" w:lineRule="auto"/>
            </w:pPr>
            <w:r/>
            <w:r>
              <w:rPr>
                <w:sz w:val="18"/>
              </w:rPr>
              <w:t>80.86</w:t>
            </w:r>
          </w:p>
        </w:tc>
      </w:tr>
      <w:tr>
        <w:tc>
          <w:tcPr>
            <w:tcW w:type="dxa" w:w="2041"/>
          </w:tcPr>
          <w:p>
            <w:pPr>
              <w:spacing w:after="40" w:line="269" w:lineRule="auto"/>
            </w:pPr>
            <w:r/>
            <w:r>
              <w:rPr>
                <w:sz w:val="18"/>
              </w:rPr>
            </w:r>
          </w:p>
        </w:tc>
        <w:tc>
          <w:tcPr>
            <w:tcW w:type="dxa" w:w="2608"/>
          </w:tcPr>
          <w:p>
            <w:pPr>
              <w:spacing w:after="40" w:line="269" w:lineRule="auto"/>
            </w:pPr>
            <w:r/>
            <w:r>
              <w:rPr>
                <w:sz w:val="18"/>
              </w:rPr>
              <w:t>Universal CD+APC</w:t>
            </w:r>
          </w:p>
        </w:tc>
        <w:tc>
          <w:tcPr>
            <w:tcW w:type="dxa" w:w="1474"/>
          </w:tcPr>
          <w:p>
            <w:pPr>
              <w:spacing w:after="40" w:line="269" w:lineRule="auto"/>
            </w:pPr>
            <w:r/>
            <w:r>
              <w:rPr>
                <w:sz w:val="18"/>
              </w:rPr>
              <w:t>69.47</w:t>
            </w:r>
          </w:p>
        </w:tc>
        <w:tc>
          <w:tcPr>
            <w:tcW w:type="dxa" w:w="1701"/>
          </w:tcPr>
          <w:p>
            <w:pPr>
              <w:spacing w:after="40" w:line="269" w:lineRule="auto"/>
            </w:pPr>
            <w:r/>
            <w:r>
              <w:rPr>
                <w:sz w:val="18"/>
              </w:rPr>
              <w:t>96.23</w:t>
            </w:r>
          </w:p>
        </w:tc>
        <w:tc>
          <w:tcPr>
            <w:tcW w:type="dxa" w:w="1587"/>
          </w:tcPr>
          <w:p>
            <w:pPr>
              <w:spacing w:after="40" w:line="269" w:lineRule="auto"/>
            </w:pPr>
            <w:r/>
            <w:r>
              <w:rPr>
                <w:sz w:val="18"/>
              </w:rPr>
              <w:t>82.85</w:t>
            </w:r>
          </w:p>
        </w:tc>
      </w:tr>
      <w:tr>
        <w:tc>
          <w:tcPr>
            <w:tcW w:type="dxa" w:w="2041"/>
            <w:shd w:val="clear" w:fill="EAF6F3"/>
          </w:tcPr>
          <w:p>
            <w:pPr>
              <w:spacing w:after="40" w:line="269" w:lineRule="auto"/>
            </w:pPr>
            <w:r/>
            <w:r>
              <w:rPr>
                <w:sz w:val="18"/>
              </w:rPr>
            </w:r>
          </w:p>
        </w:tc>
        <w:tc>
          <w:tcPr>
            <w:tcW w:type="dxa" w:w="2608"/>
            <w:shd w:val="clear" w:fill="EAF6F3"/>
          </w:tcPr>
          <w:p>
            <w:pPr>
              <w:spacing w:after="40" w:line="269" w:lineRule="auto"/>
            </w:pPr>
            <w:r/>
            <w:r>
              <w:rPr>
                <w:sz w:val="18"/>
              </w:rPr>
              <w:t>EGCD (ours) τ = 0.65</w:t>
            </w:r>
          </w:p>
        </w:tc>
        <w:tc>
          <w:tcPr>
            <w:tcW w:type="dxa" w:w="1474"/>
            <w:shd w:val="clear" w:fill="EAF6F3"/>
          </w:tcPr>
          <w:p>
            <w:pPr>
              <w:spacing w:after="40" w:line="269" w:lineRule="auto"/>
            </w:pPr>
            <w:r/>
            <w:r>
              <w:rPr>
                <w:sz w:val="18"/>
              </w:rPr>
              <w:t>67.01</w:t>
            </w:r>
          </w:p>
        </w:tc>
        <w:tc>
          <w:tcPr>
            <w:tcW w:type="dxa" w:w="1701"/>
            <w:shd w:val="clear" w:fill="EAF6F3"/>
          </w:tcPr>
          <w:p>
            <w:pPr>
              <w:spacing w:after="40" w:line="269" w:lineRule="auto"/>
            </w:pPr>
            <w:r/>
            <w:r>
              <w:rPr>
                <w:sz w:val="18"/>
              </w:rPr>
              <w:t>98.55</w:t>
            </w:r>
          </w:p>
        </w:tc>
        <w:tc>
          <w:tcPr>
            <w:tcW w:type="dxa" w:w="1587"/>
            <w:shd w:val="clear" w:fill="EAF6F3"/>
          </w:tcPr>
          <w:p>
            <w:pPr>
              <w:spacing w:after="40" w:line="269" w:lineRule="auto"/>
            </w:pPr>
            <w:r/>
            <w:r>
              <w:rPr>
                <w:sz w:val="18"/>
              </w:rPr>
              <w:t>82.78</w:t>
            </w:r>
          </w:p>
        </w:tc>
      </w:tr>
      <w:tr>
        <w:tc>
          <w:tcPr>
            <w:tcW w:type="dxa" w:w="2041"/>
          </w:tcPr>
          <w:p>
            <w:pPr>
              <w:spacing w:after="40" w:line="269" w:lineRule="auto"/>
            </w:pPr>
            <w:r/>
            <w:r>
              <w:rPr>
                <w:sz w:val="18"/>
              </w:rPr>
            </w:r>
          </w:p>
        </w:tc>
        <w:tc>
          <w:tcPr>
            <w:tcW w:type="dxa" w:w="2608"/>
          </w:tcPr>
          <w:p>
            <w:pPr>
              <w:spacing w:after="40" w:line="269" w:lineRule="auto"/>
            </w:pPr>
            <w:r/>
            <w:r>
              <w:rPr>
                <w:sz w:val="18"/>
              </w:rPr>
              <w:t>VCD</w:t>
            </w:r>
          </w:p>
        </w:tc>
        <w:tc>
          <w:tcPr>
            <w:tcW w:type="dxa" w:w="1474"/>
          </w:tcPr>
          <w:p>
            <w:pPr>
              <w:spacing w:after="40" w:line="269" w:lineRule="auto"/>
            </w:pPr>
            <w:r/>
            <w:r>
              <w:rPr>
                <w:sz w:val="18"/>
              </w:rPr>
              <w:t>61.27</w:t>
            </w:r>
          </w:p>
        </w:tc>
        <w:tc>
          <w:tcPr>
            <w:tcW w:type="dxa" w:w="1701"/>
          </w:tcPr>
          <w:p>
            <w:pPr>
              <w:spacing w:after="40" w:line="269" w:lineRule="auto"/>
            </w:pPr>
            <w:r/>
            <w:r>
              <w:rPr>
                <w:sz w:val="18"/>
              </w:rPr>
              <w:t>98.55</w:t>
            </w:r>
          </w:p>
        </w:tc>
        <w:tc>
          <w:tcPr>
            <w:tcW w:type="dxa" w:w="1587"/>
          </w:tcPr>
          <w:p>
            <w:pPr>
              <w:spacing w:after="40" w:line="269" w:lineRule="auto"/>
            </w:pPr>
            <w:r/>
            <w:r>
              <w:rPr>
                <w:sz w:val="18"/>
              </w:rPr>
              <w:t>79.91</w:t>
            </w:r>
          </w:p>
        </w:tc>
      </w:tr>
      <w:tr>
        <w:tc>
          <w:tcPr>
            <w:tcW w:type="dxa" w:w="2041"/>
          </w:tcPr>
          <w:p>
            <w:pPr>
              <w:spacing w:after="40" w:line="269" w:lineRule="auto"/>
            </w:pPr>
            <w:r/>
            <w:r>
              <w:rPr>
                <w:sz w:val="18"/>
              </w:rPr>
            </w:r>
          </w:p>
        </w:tc>
        <w:tc>
          <w:tcPr>
            <w:tcW w:type="dxa" w:w="2608"/>
          </w:tcPr>
          <w:p>
            <w:pPr>
              <w:spacing w:after="40" w:line="269" w:lineRule="auto"/>
            </w:pPr>
            <w:r/>
            <w:r>
              <w:rPr>
                <w:sz w:val="18"/>
              </w:rPr>
              <w:t>SID</w:t>
            </w:r>
          </w:p>
        </w:tc>
        <w:tc>
          <w:tcPr>
            <w:tcW w:type="dxa" w:w="1474"/>
          </w:tcPr>
          <w:p>
            <w:pPr>
              <w:spacing w:after="40" w:line="269" w:lineRule="auto"/>
            </w:pPr>
            <w:r/>
            <w:r>
              <w:rPr>
                <w:sz w:val="18"/>
              </w:rPr>
              <w:t>62.09</w:t>
            </w:r>
          </w:p>
        </w:tc>
        <w:tc>
          <w:tcPr>
            <w:tcW w:type="dxa" w:w="1701"/>
          </w:tcPr>
          <w:p>
            <w:pPr>
              <w:spacing w:after="40" w:line="269" w:lineRule="auto"/>
            </w:pPr>
            <w:r/>
            <w:r>
              <w:rPr>
                <w:sz w:val="18"/>
              </w:rPr>
              <w:t>99.42</w:t>
            </w:r>
          </w:p>
        </w:tc>
        <w:tc>
          <w:tcPr>
            <w:tcW w:type="dxa" w:w="1587"/>
          </w:tcPr>
          <w:p>
            <w:pPr>
              <w:spacing w:after="40" w:line="269" w:lineRule="auto"/>
            </w:pPr>
            <w:r/>
            <w:r>
              <w:rPr>
                <w:sz w:val="18"/>
              </w:rPr>
              <w:t>80.76</w:t>
            </w:r>
          </w:p>
        </w:tc>
      </w:tr>
      <w:tr>
        <w:tc>
          <w:tcPr>
            <w:tcW w:type="dxa" w:w="2041"/>
          </w:tcPr>
          <w:p>
            <w:pPr>
              <w:spacing w:after="40" w:line="269" w:lineRule="auto"/>
            </w:pPr>
            <w:r/>
            <w:r>
              <w:rPr>
                <w:sz w:val="18"/>
              </w:rPr>
              <w:t>Idefics2-8B</w:t>
            </w:r>
          </w:p>
        </w:tc>
        <w:tc>
          <w:tcPr>
            <w:tcW w:type="dxa" w:w="2608"/>
          </w:tcPr>
          <w:p>
            <w:pPr>
              <w:spacing w:after="40" w:line="269" w:lineRule="auto"/>
            </w:pPr>
            <w:r/>
            <w:r>
              <w:rPr>
                <w:sz w:val="18"/>
              </w:rPr>
              <w:t>Greedy baseline</w:t>
            </w:r>
          </w:p>
        </w:tc>
        <w:tc>
          <w:tcPr>
            <w:tcW w:type="dxa" w:w="1474"/>
          </w:tcPr>
          <w:p>
            <w:pPr>
              <w:spacing w:after="40" w:line="269" w:lineRule="auto"/>
            </w:pPr>
            <w:r/>
            <w:r>
              <w:rPr>
                <w:sz w:val="18"/>
              </w:rPr>
              <w:t>74.18</w:t>
            </w:r>
          </w:p>
        </w:tc>
        <w:tc>
          <w:tcPr>
            <w:tcW w:type="dxa" w:w="1701"/>
          </w:tcPr>
          <w:p>
            <w:pPr>
              <w:spacing w:after="40" w:line="269" w:lineRule="auto"/>
            </w:pPr>
            <w:r/>
            <w:r>
              <w:rPr>
                <w:sz w:val="18"/>
              </w:rPr>
              <w:t>91.88</w:t>
            </w:r>
          </w:p>
        </w:tc>
        <w:tc>
          <w:tcPr>
            <w:tcW w:type="dxa" w:w="1587"/>
          </w:tcPr>
          <w:p>
            <w:pPr>
              <w:spacing w:after="40" w:line="269" w:lineRule="auto"/>
            </w:pPr>
            <w:r/>
            <w:r>
              <w:rPr>
                <w:sz w:val="18"/>
              </w:rPr>
              <w:t>83.03</w:t>
            </w:r>
          </w:p>
        </w:tc>
      </w:tr>
      <w:tr>
        <w:tc>
          <w:tcPr>
            <w:tcW w:type="dxa" w:w="2041"/>
          </w:tcPr>
          <w:p>
            <w:pPr>
              <w:spacing w:after="40" w:line="269" w:lineRule="auto"/>
            </w:pPr>
            <w:r/>
            <w:r>
              <w:rPr>
                <w:sz w:val="18"/>
              </w:rPr>
            </w:r>
          </w:p>
        </w:tc>
        <w:tc>
          <w:tcPr>
            <w:tcW w:type="dxa" w:w="2608"/>
          </w:tcPr>
          <w:p>
            <w:pPr>
              <w:spacing w:after="40" w:line="269" w:lineRule="auto"/>
            </w:pPr>
            <w:r/>
            <w:r>
              <w:rPr>
                <w:sz w:val="18"/>
              </w:rPr>
              <w:t>Universal CD+APC</w:t>
            </w:r>
          </w:p>
        </w:tc>
        <w:tc>
          <w:tcPr>
            <w:tcW w:type="dxa" w:w="1474"/>
          </w:tcPr>
          <w:p>
            <w:pPr>
              <w:spacing w:after="40" w:line="269" w:lineRule="auto"/>
            </w:pPr>
            <w:r/>
            <w:r>
              <w:rPr>
                <w:sz w:val="18"/>
              </w:rPr>
              <w:t>73.77</w:t>
            </w:r>
          </w:p>
        </w:tc>
        <w:tc>
          <w:tcPr>
            <w:tcW w:type="dxa" w:w="1701"/>
          </w:tcPr>
          <w:p>
            <w:pPr>
              <w:spacing w:after="40" w:line="269" w:lineRule="auto"/>
            </w:pPr>
            <w:r/>
            <w:r>
              <w:rPr>
                <w:sz w:val="18"/>
              </w:rPr>
              <w:t>92.17</w:t>
            </w:r>
          </w:p>
        </w:tc>
        <w:tc>
          <w:tcPr>
            <w:tcW w:type="dxa" w:w="1587"/>
          </w:tcPr>
          <w:p>
            <w:pPr>
              <w:spacing w:after="40" w:line="269" w:lineRule="auto"/>
            </w:pPr>
            <w:r/>
            <w:r>
              <w:rPr>
                <w:sz w:val="18"/>
              </w:rPr>
              <w:t>82.97</w:t>
            </w:r>
          </w:p>
        </w:tc>
      </w:tr>
      <w:tr>
        <w:tc>
          <w:tcPr>
            <w:tcW w:type="dxa" w:w="2041"/>
            <w:shd w:val="clear" w:fill="EAF6F3"/>
          </w:tcPr>
          <w:p>
            <w:pPr>
              <w:spacing w:after="40" w:line="269" w:lineRule="auto"/>
            </w:pPr>
            <w:r/>
            <w:r>
              <w:rPr>
                <w:sz w:val="18"/>
              </w:rPr>
            </w:r>
          </w:p>
        </w:tc>
        <w:tc>
          <w:tcPr>
            <w:tcW w:type="dxa" w:w="2608"/>
            <w:shd w:val="clear" w:fill="EAF6F3"/>
          </w:tcPr>
          <w:p>
            <w:pPr>
              <w:spacing w:after="40" w:line="269" w:lineRule="auto"/>
            </w:pPr>
            <w:r/>
            <w:r>
              <w:rPr>
                <w:sz w:val="18"/>
              </w:rPr>
              <w:t>EGCD (ours) τ = 0.69</w:t>
            </w:r>
          </w:p>
        </w:tc>
        <w:tc>
          <w:tcPr>
            <w:tcW w:type="dxa" w:w="1474"/>
            <w:shd w:val="clear" w:fill="EAF6F3"/>
          </w:tcPr>
          <w:p>
            <w:pPr>
              <w:spacing w:after="40" w:line="269" w:lineRule="auto"/>
            </w:pPr>
            <w:r/>
            <w:r>
              <w:rPr>
                <w:sz w:val="18"/>
              </w:rPr>
              <w:t>73.98</w:t>
            </w:r>
          </w:p>
        </w:tc>
        <w:tc>
          <w:tcPr>
            <w:tcW w:type="dxa" w:w="1701"/>
            <w:shd w:val="clear" w:fill="EAF6F3"/>
          </w:tcPr>
          <w:p>
            <w:pPr>
              <w:spacing w:after="40" w:line="269" w:lineRule="auto"/>
            </w:pPr>
            <w:r/>
            <w:r>
              <w:rPr>
                <w:sz w:val="18"/>
              </w:rPr>
              <w:t>92.17</w:t>
            </w:r>
          </w:p>
        </w:tc>
        <w:tc>
          <w:tcPr>
            <w:tcW w:type="dxa" w:w="1587"/>
            <w:shd w:val="clear" w:fill="EAF6F3"/>
          </w:tcPr>
          <w:p>
            <w:pPr>
              <w:spacing w:after="40" w:line="269" w:lineRule="auto"/>
            </w:pPr>
            <w:r/>
            <w:r>
              <w:rPr>
                <w:sz w:val="18"/>
              </w:rPr>
              <w:t>83.07</w:t>
            </w:r>
          </w:p>
        </w:tc>
      </w:tr>
      <w:tr>
        <w:tc>
          <w:tcPr>
            <w:tcW w:type="dxa" w:w="2041"/>
          </w:tcPr>
          <w:p>
            <w:pPr>
              <w:spacing w:after="40" w:line="269" w:lineRule="auto"/>
            </w:pPr>
            <w:r/>
            <w:r>
              <w:rPr>
                <w:sz w:val="18"/>
              </w:rPr>
            </w:r>
          </w:p>
        </w:tc>
        <w:tc>
          <w:tcPr>
            <w:tcW w:type="dxa" w:w="2608"/>
          </w:tcPr>
          <w:p>
            <w:pPr>
              <w:spacing w:after="40" w:line="269" w:lineRule="auto"/>
            </w:pPr>
            <w:r/>
            <w:r>
              <w:rPr>
                <w:sz w:val="18"/>
              </w:rPr>
              <w:t>VCD</w:t>
            </w:r>
          </w:p>
        </w:tc>
        <w:tc>
          <w:tcPr>
            <w:tcW w:type="dxa" w:w="1474"/>
          </w:tcPr>
          <w:p>
            <w:pPr>
              <w:spacing w:after="40" w:line="269" w:lineRule="auto"/>
            </w:pPr>
            <w:r/>
            <w:r>
              <w:rPr>
                <w:sz w:val="18"/>
              </w:rPr>
              <w:t>75.41</w:t>
            </w:r>
          </w:p>
        </w:tc>
        <w:tc>
          <w:tcPr>
            <w:tcW w:type="dxa" w:w="1701"/>
          </w:tcPr>
          <w:p>
            <w:pPr>
              <w:spacing w:after="40" w:line="269" w:lineRule="auto"/>
            </w:pPr>
            <w:r/>
            <w:r>
              <w:rPr>
                <w:sz w:val="18"/>
              </w:rPr>
              <w:t>89.57</w:t>
            </w:r>
          </w:p>
        </w:tc>
        <w:tc>
          <w:tcPr>
            <w:tcW w:type="dxa" w:w="1587"/>
          </w:tcPr>
          <w:p>
            <w:pPr>
              <w:spacing w:after="40" w:line="269" w:lineRule="auto"/>
            </w:pPr>
            <w:r/>
            <w:r>
              <w:rPr>
                <w:sz w:val="18"/>
              </w:rPr>
              <w:t>82.49</w:t>
            </w:r>
          </w:p>
        </w:tc>
      </w:tr>
      <w:tr>
        <w:tc>
          <w:tcPr>
            <w:tcW w:type="dxa" w:w="2041"/>
          </w:tcPr>
          <w:p>
            <w:pPr>
              <w:spacing w:after="40" w:line="269" w:lineRule="auto"/>
            </w:pPr>
            <w:r/>
            <w:r>
              <w:rPr>
                <w:sz w:val="18"/>
              </w:rPr>
            </w:r>
          </w:p>
        </w:tc>
        <w:tc>
          <w:tcPr>
            <w:tcW w:type="dxa" w:w="2608"/>
          </w:tcPr>
          <w:p>
            <w:pPr>
              <w:spacing w:after="40" w:line="269" w:lineRule="auto"/>
            </w:pPr>
            <w:r/>
            <w:r>
              <w:rPr>
                <w:sz w:val="18"/>
              </w:rPr>
              <w:t>SID</w:t>
            </w:r>
          </w:p>
        </w:tc>
        <w:tc>
          <w:tcPr>
            <w:tcW w:type="dxa" w:w="1474"/>
          </w:tcPr>
          <w:p>
            <w:pPr>
              <w:spacing w:after="40" w:line="269" w:lineRule="auto"/>
            </w:pPr>
            <w:r/>
            <w:r>
              <w:rPr>
                <w:sz w:val="18"/>
              </w:rPr>
              <w:t>74.18</w:t>
            </w:r>
          </w:p>
        </w:tc>
        <w:tc>
          <w:tcPr>
            <w:tcW w:type="dxa" w:w="1701"/>
          </w:tcPr>
          <w:p>
            <w:pPr>
              <w:spacing w:after="40" w:line="269" w:lineRule="auto"/>
            </w:pPr>
            <w:r/>
            <w:r>
              <w:rPr>
                <w:sz w:val="18"/>
              </w:rPr>
              <w:t>91.88</w:t>
            </w:r>
          </w:p>
        </w:tc>
        <w:tc>
          <w:tcPr>
            <w:tcW w:type="dxa" w:w="1587"/>
          </w:tcPr>
          <w:p>
            <w:pPr>
              <w:spacing w:after="40" w:line="269" w:lineRule="auto"/>
            </w:pPr>
            <w:r/>
            <w:r>
              <w:rPr>
                <w:sz w:val="18"/>
              </w:rPr>
              <w:t>83.03</w:t>
            </w:r>
          </w:p>
        </w:tc>
      </w:tr>
      <w:tr>
        <w:tc>
          <w:tcPr>
            <w:tcW w:type="dxa" w:w="2041"/>
          </w:tcPr>
          <w:p>
            <w:pPr>
              <w:spacing w:after="40" w:line="269" w:lineRule="auto"/>
            </w:pPr>
            <w:r/>
            <w:r>
              <w:rPr>
                <w:sz w:val="18"/>
              </w:rPr>
              <w:t>LLaVA-1.5-7B</w:t>
            </w:r>
          </w:p>
        </w:tc>
        <w:tc>
          <w:tcPr>
            <w:tcW w:type="dxa" w:w="2608"/>
          </w:tcPr>
          <w:p>
            <w:pPr>
              <w:spacing w:after="40" w:line="269" w:lineRule="auto"/>
            </w:pPr>
            <w:r/>
            <w:r>
              <w:rPr>
                <w:sz w:val="18"/>
              </w:rPr>
              <w:t>Greedy baseline</w:t>
            </w:r>
          </w:p>
        </w:tc>
        <w:tc>
          <w:tcPr>
            <w:tcW w:type="dxa" w:w="1474"/>
          </w:tcPr>
          <w:p>
            <w:pPr>
              <w:spacing w:after="40" w:line="269" w:lineRule="auto"/>
            </w:pPr>
            <w:r/>
            <w:r>
              <w:rPr>
                <w:sz w:val="18"/>
              </w:rPr>
              <w:t>75.00</w:t>
            </w:r>
          </w:p>
        </w:tc>
        <w:tc>
          <w:tcPr>
            <w:tcW w:type="dxa" w:w="1701"/>
          </w:tcPr>
          <w:p>
            <w:pPr>
              <w:spacing w:after="40" w:line="269" w:lineRule="auto"/>
            </w:pPr>
            <w:r/>
            <w:r>
              <w:rPr>
                <w:sz w:val="18"/>
              </w:rPr>
              <w:t>78.55</w:t>
            </w:r>
          </w:p>
        </w:tc>
        <w:tc>
          <w:tcPr>
            <w:tcW w:type="dxa" w:w="1587"/>
          </w:tcPr>
          <w:p>
            <w:pPr>
              <w:spacing w:after="40" w:line="269" w:lineRule="auto"/>
            </w:pPr>
            <w:r/>
            <w:r>
              <w:rPr>
                <w:sz w:val="18"/>
              </w:rPr>
              <w:t>76.78</w:t>
            </w:r>
          </w:p>
        </w:tc>
      </w:tr>
      <w:tr>
        <w:tc>
          <w:tcPr>
            <w:tcW w:type="dxa" w:w="2041"/>
          </w:tcPr>
          <w:p>
            <w:pPr>
              <w:spacing w:after="40" w:line="269" w:lineRule="auto"/>
            </w:pPr>
            <w:r/>
            <w:r>
              <w:rPr>
                <w:sz w:val="18"/>
              </w:rPr>
            </w:r>
          </w:p>
        </w:tc>
        <w:tc>
          <w:tcPr>
            <w:tcW w:type="dxa" w:w="2608"/>
          </w:tcPr>
          <w:p>
            <w:pPr>
              <w:spacing w:after="40" w:line="269" w:lineRule="auto"/>
            </w:pPr>
            <w:r/>
            <w:r>
              <w:rPr>
                <w:sz w:val="18"/>
              </w:rPr>
              <w:t>Universal CD+APC</w:t>
            </w:r>
          </w:p>
        </w:tc>
        <w:tc>
          <w:tcPr>
            <w:tcW w:type="dxa" w:w="1474"/>
          </w:tcPr>
          <w:p>
            <w:pPr>
              <w:spacing w:after="40" w:line="269" w:lineRule="auto"/>
            </w:pPr>
            <w:r/>
            <w:r>
              <w:rPr>
                <w:sz w:val="18"/>
              </w:rPr>
              <w:t>29.30</w:t>
            </w:r>
          </w:p>
        </w:tc>
        <w:tc>
          <w:tcPr>
            <w:tcW w:type="dxa" w:w="1701"/>
          </w:tcPr>
          <w:p>
            <w:pPr>
              <w:spacing w:after="40" w:line="269" w:lineRule="auto"/>
            </w:pPr>
            <w:r/>
            <w:r>
              <w:rPr>
                <w:sz w:val="18"/>
              </w:rPr>
              <w:t>96.81</w:t>
            </w:r>
          </w:p>
        </w:tc>
        <w:tc>
          <w:tcPr>
            <w:tcW w:type="dxa" w:w="1587"/>
          </w:tcPr>
          <w:p>
            <w:pPr>
              <w:spacing w:after="40" w:line="269" w:lineRule="auto"/>
            </w:pPr>
            <w:r/>
            <w:r>
              <w:rPr>
                <w:sz w:val="18"/>
              </w:rPr>
              <w:t>63.06</w:t>
            </w:r>
          </w:p>
        </w:tc>
      </w:tr>
      <w:tr>
        <w:tc>
          <w:tcPr>
            <w:tcW w:type="dxa" w:w="2041"/>
            <w:shd w:val="clear" w:fill="EAF6F3"/>
          </w:tcPr>
          <w:p>
            <w:pPr>
              <w:spacing w:after="40" w:line="269" w:lineRule="auto"/>
            </w:pPr>
            <w:r/>
            <w:r>
              <w:rPr>
                <w:sz w:val="18"/>
              </w:rPr>
            </w:r>
          </w:p>
        </w:tc>
        <w:tc>
          <w:tcPr>
            <w:tcW w:type="dxa" w:w="2608"/>
            <w:shd w:val="clear" w:fill="EAF6F3"/>
          </w:tcPr>
          <w:p>
            <w:pPr>
              <w:spacing w:after="40" w:line="269" w:lineRule="auto"/>
            </w:pPr>
            <w:r/>
            <w:r>
              <w:rPr>
                <w:sz w:val="18"/>
              </w:rPr>
              <w:t>EGCD (ours) τ = 0.70</w:t>
            </w:r>
          </w:p>
        </w:tc>
        <w:tc>
          <w:tcPr>
            <w:tcW w:type="dxa" w:w="1474"/>
            <w:shd w:val="clear" w:fill="EAF6F3"/>
          </w:tcPr>
          <w:p>
            <w:pPr>
              <w:spacing w:after="40" w:line="269" w:lineRule="auto"/>
            </w:pPr>
            <w:r/>
            <w:r>
              <w:rPr>
                <w:sz w:val="18"/>
              </w:rPr>
              <w:t>75.00</w:t>
            </w:r>
          </w:p>
        </w:tc>
        <w:tc>
          <w:tcPr>
            <w:tcW w:type="dxa" w:w="1701"/>
            <w:shd w:val="clear" w:fill="EAF6F3"/>
          </w:tcPr>
          <w:p>
            <w:pPr>
              <w:spacing w:after="40" w:line="269" w:lineRule="auto"/>
            </w:pPr>
            <w:r/>
            <w:r>
              <w:rPr>
                <w:sz w:val="18"/>
              </w:rPr>
              <w:t>78.55</w:t>
            </w:r>
          </w:p>
        </w:tc>
        <w:tc>
          <w:tcPr>
            <w:tcW w:type="dxa" w:w="1587"/>
            <w:shd w:val="clear" w:fill="EAF6F3"/>
          </w:tcPr>
          <w:p>
            <w:pPr>
              <w:spacing w:after="40" w:line="269" w:lineRule="auto"/>
            </w:pPr>
            <w:r/>
            <w:r>
              <w:rPr>
                <w:sz w:val="18"/>
              </w:rPr>
              <w:t>76.78</w:t>
            </w:r>
          </w:p>
        </w:tc>
      </w:tr>
      <w:tr>
        <w:tc>
          <w:tcPr>
            <w:tcW w:type="dxa" w:w="2041"/>
          </w:tcPr>
          <w:p>
            <w:pPr>
              <w:spacing w:after="40" w:line="269" w:lineRule="auto"/>
            </w:pPr>
            <w:r/>
            <w:r>
              <w:rPr>
                <w:sz w:val="18"/>
              </w:rPr>
            </w:r>
          </w:p>
        </w:tc>
        <w:tc>
          <w:tcPr>
            <w:tcW w:type="dxa" w:w="2608"/>
          </w:tcPr>
          <w:p>
            <w:pPr>
              <w:spacing w:after="40" w:line="269" w:lineRule="auto"/>
            </w:pPr>
            <w:r/>
            <w:r>
              <w:rPr>
                <w:sz w:val="18"/>
              </w:rPr>
              <w:t>VCD</w:t>
            </w:r>
          </w:p>
        </w:tc>
        <w:tc>
          <w:tcPr>
            <w:tcW w:type="dxa" w:w="1474"/>
          </w:tcPr>
          <w:p>
            <w:pPr>
              <w:spacing w:after="40" w:line="269" w:lineRule="auto"/>
            </w:pPr>
            <w:r/>
            <w:r>
              <w:rPr>
                <w:sz w:val="18"/>
              </w:rPr>
              <w:t>76.84</w:t>
            </w:r>
          </w:p>
        </w:tc>
        <w:tc>
          <w:tcPr>
            <w:tcW w:type="dxa" w:w="1701"/>
          </w:tcPr>
          <w:p>
            <w:pPr>
              <w:spacing w:after="40" w:line="269" w:lineRule="auto"/>
            </w:pPr>
            <w:r/>
            <w:r>
              <w:rPr>
                <w:sz w:val="18"/>
              </w:rPr>
              <w:t>75.07</w:t>
            </w:r>
          </w:p>
        </w:tc>
        <w:tc>
          <w:tcPr>
            <w:tcW w:type="dxa" w:w="1587"/>
          </w:tcPr>
          <w:p>
            <w:pPr>
              <w:spacing w:after="40" w:line="269" w:lineRule="auto"/>
            </w:pPr>
            <w:r/>
            <w:r>
              <w:rPr>
                <w:sz w:val="18"/>
              </w:rPr>
              <w:t>75.96</w:t>
            </w:r>
          </w:p>
        </w:tc>
      </w:tr>
      <w:tr>
        <w:tc>
          <w:tcPr>
            <w:tcW w:type="dxa" w:w="2041"/>
          </w:tcPr>
          <w:p>
            <w:pPr>
              <w:spacing w:after="40" w:line="269" w:lineRule="auto"/>
            </w:pPr>
            <w:r/>
            <w:r>
              <w:rPr>
                <w:sz w:val="18"/>
              </w:rPr>
            </w:r>
          </w:p>
        </w:tc>
        <w:tc>
          <w:tcPr>
            <w:tcW w:type="dxa" w:w="2608"/>
          </w:tcPr>
          <w:p>
            <w:pPr>
              <w:spacing w:after="40" w:line="269" w:lineRule="auto"/>
            </w:pPr>
            <w:r/>
            <w:r>
              <w:rPr>
                <w:sz w:val="18"/>
              </w:rPr>
              <w:t>SID</w:t>
            </w:r>
          </w:p>
        </w:tc>
        <w:tc>
          <w:tcPr>
            <w:tcW w:type="dxa" w:w="1474"/>
          </w:tcPr>
          <w:p>
            <w:pPr>
              <w:spacing w:after="40" w:line="269" w:lineRule="auto"/>
            </w:pPr>
            <w:r/>
            <w:r>
              <w:rPr>
                <w:sz w:val="18"/>
              </w:rPr>
              <w:t>75.00</w:t>
            </w:r>
          </w:p>
        </w:tc>
        <w:tc>
          <w:tcPr>
            <w:tcW w:type="dxa" w:w="1701"/>
          </w:tcPr>
          <w:p>
            <w:pPr>
              <w:spacing w:after="40" w:line="269" w:lineRule="auto"/>
            </w:pPr>
            <w:r/>
            <w:r>
              <w:rPr>
                <w:sz w:val="18"/>
              </w:rPr>
              <w:t>78.55</w:t>
            </w:r>
          </w:p>
        </w:tc>
        <w:tc>
          <w:tcPr>
            <w:tcW w:type="dxa" w:w="1587"/>
          </w:tcPr>
          <w:p>
            <w:pPr>
              <w:spacing w:after="40" w:line="269" w:lineRule="auto"/>
            </w:pPr>
            <w:r/>
            <w:r>
              <w:rPr>
                <w:sz w:val="18"/>
              </w:rPr>
              <w:t>76.78</w:t>
            </w:r>
          </w:p>
        </w:tc>
      </w:tr>
      <w:tr>
        <w:tc>
          <w:tcPr>
            <w:tcW w:type="dxa" w:w="2041"/>
          </w:tcPr>
          <w:p>
            <w:pPr>
              <w:spacing w:after="40" w:line="269" w:lineRule="auto"/>
            </w:pPr>
            <w:r/>
            <w:r>
              <w:rPr>
                <w:sz w:val="18"/>
              </w:rPr>
              <w:t>LLaVA-v1.6-Mistral-7B</w:t>
            </w:r>
          </w:p>
        </w:tc>
        <w:tc>
          <w:tcPr>
            <w:tcW w:type="dxa" w:w="2608"/>
          </w:tcPr>
          <w:p>
            <w:pPr>
              <w:spacing w:after="40" w:line="269" w:lineRule="auto"/>
            </w:pPr>
            <w:r/>
            <w:r>
              <w:rPr>
                <w:sz w:val="18"/>
              </w:rPr>
              <w:t>Greedy baseline †</w:t>
            </w:r>
          </w:p>
        </w:tc>
        <w:tc>
          <w:tcPr>
            <w:tcW w:type="dxa" w:w="1474"/>
          </w:tcPr>
          <w:p>
            <w:pPr>
              <w:spacing w:after="40" w:line="269" w:lineRule="auto"/>
            </w:pPr>
            <w:r/>
            <w:r>
              <w:rPr>
                <w:sz w:val="18"/>
              </w:rPr>
              <w:t>78.36</w:t>
            </w:r>
          </w:p>
        </w:tc>
        <w:tc>
          <w:tcPr>
            <w:tcW w:type="dxa" w:w="1701"/>
          </w:tcPr>
          <w:p>
            <w:pPr>
              <w:spacing w:after="40" w:line="269" w:lineRule="auto"/>
            </w:pPr>
            <w:r/>
            <w:r>
              <w:rPr>
                <w:sz w:val="18"/>
              </w:rPr>
              <w:t>93.76</w:t>
            </w:r>
          </w:p>
        </w:tc>
        <w:tc>
          <w:tcPr>
            <w:tcW w:type="dxa" w:w="1587"/>
          </w:tcPr>
          <w:p>
            <w:pPr>
              <w:spacing w:after="40" w:line="269" w:lineRule="auto"/>
            </w:pPr>
            <w:r/>
            <w:r>
              <w:rPr>
                <w:sz w:val="18"/>
              </w:rPr>
              <w:t>86.06</w:t>
            </w:r>
          </w:p>
        </w:tc>
      </w:tr>
      <w:tr>
        <w:tc>
          <w:tcPr>
            <w:tcW w:type="dxa" w:w="2041"/>
          </w:tcPr>
          <w:p>
            <w:pPr>
              <w:spacing w:after="40" w:line="269" w:lineRule="auto"/>
            </w:pPr>
            <w:r/>
            <w:r>
              <w:rPr>
                <w:sz w:val="18"/>
              </w:rPr>
            </w:r>
          </w:p>
        </w:tc>
        <w:tc>
          <w:tcPr>
            <w:tcW w:type="dxa" w:w="2608"/>
          </w:tcPr>
          <w:p>
            <w:pPr>
              <w:spacing w:after="40" w:line="269" w:lineRule="auto"/>
            </w:pPr>
            <w:r/>
            <w:r>
              <w:rPr>
                <w:sz w:val="18"/>
              </w:rPr>
              <w:t>Universal CD+APC †</w:t>
            </w:r>
          </w:p>
        </w:tc>
        <w:tc>
          <w:tcPr>
            <w:tcW w:type="dxa" w:w="1474"/>
          </w:tcPr>
          <w:p>
            <w:pPr>
              <w:spacing w:after="40" w:line="269" w:lineRule="auto"/>
            </w:pPr>
            <w:r/>
            <w:r>
              <w:rPr>
                <w:sz w:val="18"/>
              </w:rPr>
              <w:t>64.92</w:t>
            </w:r>
          </w:p>
        </w:tc>
        <w:tc>
          <w:tcPr>
            <w:tcW w:type="dxa" w:w="1701"/>
          </w:tcPr>
          <w:p>
            <w:pPr>
              <w:spacing w:after="40" w:line="269" w:lineRule="auto"/>
            </w:pPr>
            <w:r/>
            <w:r>
              <w:rPr>
                <w:sz w:val="18"/>
              </w:rPr>
              <w:t>86.36</w:t>
            </w:r>
          </w:p>
        </w:tc>
        <w:tc>
          <w:tcPr>
            <w:tcW w:type="dxa" w:w="1587"/>
          </w:tcPr>
          <w:p>
            <w:pPr>
              <w:spacing w:after="40" w:line="269" w:lineRule="auto"/>
            </w:pPr>
            <w:r/>
            <w:r>
              <w:rPr>
                <w:sz w:val="18"/>
              </w:rPr>
              <w:t>75.64</w:t>
            </w:r>
          </w:p>
        </w:tc>
      </w:tr>
      <w:tr>
        <w:tc>
          <w:tcPr>
            <w:tcW w:type="dxa" w:w="2041"/>
            <w:shd w:val="clear" w:fill="EAF6F3"/>
          </w:tcPr>
          <w:p>
            <w:pPr>
              <w:spacing w:after="40" w:line="269" w:lineRule="auto"/>
            </w:pPr>
            <w:r/>
            <w:r>
              <w:rPr>
                <w:sz w:val="18"/>
              </w:rPr>
            </w:r>
          </w:p>
        </w:tc>
        <w:tc>
          <w:tcPr>
            <w:tcW w:type="dxa" w:w="2608"/>
            <w:shd w:val="clear" w:fill="EAF6F3"/>
          </w:tcPr>
          <w:p>
            <w:pPr>
              <w:spacing w:after="40" w:line="269" w:lineRule="auto"/>
            </w:pPr>
            <w:r/>
            <w:r>
              <w:rPr>
                <w:sz w:val="18"/>
              </w:rPr>
              <w:t>EGCD (ours) τ = 0.71 †</w:t>
            </w:r>
          </w:p>
        </w:tc>
        <w:tc>
          <w:tcPr>
            <w:tcW w:type="dxa" w:w="1474"/>
            <w:shd w:val="clear" w:fill="EAF6F3"/>
          </w:tcPr>
          <w:p>
            <w:pPr>
              <w:spacing w:after="40" w:line="269" w:lineRule="auto"/>
            </w:pPr>
            <w:r/>
            <w:r>
              <w:rPr>
                <w:sz w:val="18"/>
              </w:rPr>
              <w:t>78.36</w:t>
            </w:r>
          </w:p>
        </w:tc>
        <w:tc>
          <w:tcPr>
            <w:tcW w:type="dxa" w:w="1701"/>
            <w:shd w:val="clear" w:fill="EAF6F3"/>
          </w:tcPr>
          <w:p>
            <w:pPr>
              <w:spacing w:after="40" w:line="269" w:lineRule="auto"/>
            </w:pPr>
            <w:r/>
            <w:r>
              <w:rPr>
                <w:sz w:val="18"/>
              </w:rPr>
              <w:t>93.76</w:t>
            </w:r>
          </w:p>
        </w:tc>
        <w:tc>
          <w:tcPr>
            <w:tcW w:type="dxa" w:w="1587"/>
            <w:shd w:val="clear" w:fill="EAF6F3"/>
          </w:tcPr>
          <w:p>
            <w:pPr>
              <w:spacing w:after="40" w:line="269" w:lineRule="auto"/>
            </w:pPr>
            <w:r/>
            <w:r>
              <w:rPr>
                <w:sz w:val="18"/>
              </w:rPr>
              <w:t>86.06</w:t>
            </w:r>
          </w:p>
        </w:tc>
      </w:tr>
      <w:tr>
        <w:tc>
          <w:tcPr>
            <w:tcW w:type="dxa" w:w="2041"/>
          </w:tcPr>
          <w:p>
            <w:pPr>
              <w:spacing w:after="40" w:line="269" w:lineRule="auto"/>
            </w:pPr>
            <w:r/>
            <w:r>
              <w:rPr>
                <w:sz w:val="18"/>
              </w:rPr>
            </w:r>
          </w:p>
        </w:tc>
        <w:tc>
          <w:tcPr>
            <w:tcW w:type="dxa" w:w="2608"/>
          </w:tcPr>
          <w:p>
            <w:pPr>
              <w:spacing w:after="40" w:line="269" w:lineRule="auto"/>
            </w:pPr>
            <w:r/>
            <w:r>
              <w:rPr>
                <w:sz w:val="18"/>
              </w:rPr>
              <w:t>VCD</w:t>
            </w:r>
          </w:p>
        </w:tc>
        <w:tc>
          <w:tcPr>
            <w:tcW w:type="dxa" w:w="1474"/>
          </w:tcPr>
          <w:p>
            <w:pPr>
              <w:spacing w:after="40" w:line="269" w:lineRule="auto"/>
            </w:pPr>
            <w:r/>
            <w:r>
              <w:rPr>
                <w:sz w:val="18"/>
              </w:rPr>
              <w:t>79.51</w:t>
            </w:r>
          </w:p>
        </w:tc>
        <w:tc>
          <w:tcPr>
            <w:tcW w:type="dxa" w:w="1701"/>
          </w:tcPr>
          <w:p>
            <w:pPr>
              <w:spacing w:after="40" w:line="269" w:lineRule="auto"/>
            </w:pPr>
            <w:r/>
            <w:r>
              <w:rPr>
                <w:sz w:val="18"/>
              </w:rPr>
              <w:t>91.30</w:t>
            </w:r>
          </w:p>
        </w:tc>
        <w:tc>
          <w:tcPr>
            <w:tcW w:type="dxa" w:w="1587"/>
          </w:tcPr>
          <w:p>
            <w:pPr>
              <w:spacing w:after="40" w:line="269" w:lineRule="auto"/>
            </w:pPr>
            <w:r/>
            <w:r>
              <w:rPr>
                <w:sz w:val="18"/>
              </w:rPr>
              <w:t>85.41</w:t>
            </w:r>
          </w:p>
        </w:tc>
      </w:tr>
      <w:tr>
        <w:tc>
          <w:tcPr>
            <w:tcW w:type="dxa" w:w="2041"/>
          </w:tcPr>
          <w:p>
            <w:pPr>
              <w:spacing w:after="40" w:line="269" w:lineRule="auto"/>
            </w:pPr>
            <w:r/>
            <w:r>
              <w:rPr>
                <w:sz w:val="18"/>
              </w:rPr>
            </w:r>
          </w:p>
        </w:tc>
        <w:tc>
          <w:tcPr>
            <w:tcW w:type="dxa" w:w="2608"/>
          </w:tcPr>
          <w:p>
            <w:pPr>
              <w:spacing w:after="40" w:line="269" w:lineRule="auto"/>
            </w:pPr>
            <w:r/>
            <w:r>
              <w:rPr>
                <w:sz w:val="18"/>
              </w:rPr>
              <w:t>SID</w:t>
            </w:r>
          </w:p>
        </w:tc>
        <w:tc>
          <w:tcPr>
            <w:tcW w:type="dxa" w:w="1474"/>
          </w:tcPr>
          <w:p>
            <w:pPr>
              <w:spacing w:after="40" w:line="269" w:lineRule="auto"/>
            </w:pPr>
            <w:r/>
            <w:r>
              <w:rPr>
                <w:sz w:val="18"/>
              </w:rPr>
              <w:t>79.51</w:t>
            </w:r>
          </w:p>
        </w:tc>
        <w:tc>
          <w:tcPr>
            <w:tcW w:type="dxa" w:w="1701"/>
          </w:tcPr>
          <w:p>
            <w:pPr>
              <w:spacing w:after="40" w:line="269" w:lineRule="auto"/>
            </w:pPr>
            <w:r/>
            <w:r>
              <w:rPr>
                <w:sz w:val="18"/>
              </w:rPr>
              <w:t>94.20</w:t>
            </w:r>
          </w:p>
        </w:tc>
        <w:tc>
          <w:tcPr>
            <w:tcW w:type="dxa" w:w="1587"/>
          </w:tcPr>
          <w:p>
            <w:pPr>
              <w:spacing w:after="40" w:line="269" w:lineRule="auto"/>
            </w:pPr>
            <w:r/>
            <w:r>
              <w:rPr>
                <w:sz w:val="18"/>
              </w:rPr>
              <w:t>86.86</w:t>
            </w:r>
          </w:p>
        </w:tc>
      </w:tr>
    </w:tbl>
    <w:p>
      <w:pPr>
        <w:spacing w:after="80"/>
      </w:pPr>
      <w:r>
        <w:rPr>
          <w:b w:val="0"/>
          <w:i w:val="0"/>
          <w:sz w:val="20"/>
        </w:rPr>
        <w:t>Formatting rules: shade and bold the five EGCD rows (as above). Do NOT bold “best per model” - on SmolVLM2-2.2B the best balanced accuracy is VCD's 70.72 and on Qwen2.5-VL-7B it is CD+APC's 82.85, and the caption deliberately makes no best-method claim. Delete the old caption sentence “Bold marks the best balanced accuracy per model.” Paste this caption instead:</w:t>
      </w:r>
    </w:p>
    <w:tbl>
      <w:tblPr>
        <w:tblStyle w:val="TableGrid"/>
        <w:tblW w:type="auto" w:w="0"/>
        <w:tblLook w:firstColumn="1" w:firstRow="1" w:lastColumn="0" w:lastRow="0" w:noHBand="0" w:noVBand="1" w:val="04A0"/>
        <w:tblCellMar>
          <w:top w:w="40" w:type="dxa"/>
          <w:left w:w="140" w:type="dxa"/>
          <w:bottom w:w="40" w:type="dxa"/>
          <w:right w:w="140" w:type="dxa"/>
        </w:tblCellMar>
      </w:tblPr>
      <w:tblGrid>
        <w:gridCol w:w="9412"/>
      </w:tblGrid>
      <w:tr>
        <w:tc>
          <w:tcPr>
            <w:tcW w:type="dxa" w:w="9411"/>
            <w:shd w:val="clear" w:fill="F4F6F8"/>
          </w:tcPr>
          <w:p>
            <w:pPr>
              <w:spacing w:line="300" w:lineRule="auto"/>
            </w:pPr>
            <w:r/>
            <w:r>
              <w:rPr>
                <w:sz w:val="20"/>
              </w:rPr>
              <w:t>Table 1: Held-out results under five decoding regimes. EGCD uses the per-model threshold selected on the tuning half; VCD and SID are applied at every decoding step with the same α and β as CD+APC. † The greedy, CD+APC and EGCD rows for LLaVA-v1.6-Mistral-7B come from the earlier full-set run (re-run pending); its VCD and SID rows are evaluated on the same questions.</w:t>
            </w:r>
          </w:p>
        </w:tc>
      </w:tr>
    </w:tbl>
    <w:p>
      <w:pPr>
        <w:spacing w:after="40"/>
      </w:pPr>
    </w:p>
    <w:p>
      <w:pPr>
        <w:pStyle w:val="Heading1"/>
        <w:pageBreakBefore/>
      </w:pPr>
      <w:r>
        <w:rPr>
          <w:b w:val="0"/>
          <w:i w:val="0"/>
        </w:rPr>
        <w:t>3. Where every image goes (after which text)</w:t>
      </w:r>
    </w:p>
    <w:p>
      <w:r>
        <w:rPr>
          <w:b w:val="0"/>
          <w:i w:val="0"/>
          <w:sz w:val="20"/>
        </w:rPr>
        <w:t>Your placements were mostly right - 7 of 10 images already sit where the text needs them. Three need action: Figure 5 must move out of Section 5.3 back into Section 5.2, Figure 7 should move up one paragraph inside Section 5.4, and Appendix Figure A2a is missing entirely and must be inserted. Anchor = quote the sentence the image goes immediately after. Caption text for each slot is in captions.docx (labels C2-C10 below); column “Now” is what the current file contains.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tblHeader w:val="true"/>
        </w:trPr>
        <w:tc>
          <w:tcPr>
            <w:tcW w:type="dxa" w:w="1928"/>
            <w:shd w:val="clear" w:fill="EAF1FA"/>
          </w:tcPr>
          <w:p>
            <w:pPr>
              <w:spacing w:after="40" w:line="264" w:lineRule="auto"/>
            </w:pPr>
            <w:r/>
            <w:r>
              <w:rPr>
                <w:b/>
                <w:color w:val="1F2A33"/>
                <w:sz w:val="17"/>
              </w:rPr>
              <w:t>Figure / file (v4/ on GitHub)</w:t>
            </w:r>
          </w:p>
        </w:tc>
        <w:tc>
          <w:tcPr>
            <w:tcW w:type="dxa" w:w="3515"/>
            <w:shd w:val="clear" w:fill="EAF1FA"/>
          </w:tcPr>
          <w:p>
            <w:pPr>
              <w:spacing w:after="40" w:line="264" w:lineRule="auto"/>
            </w:pPr>
            <w:r/>
            <w:r>
              <w:rPr>
                <w:b/>
                <w:color w:val="1F2A33"/>
                <w:sz w:val="17"/>
              </w:rPr>
              <w:t>Place immediately after this text</w:t>
            </w:r>
          </w:p>
        </w:tc>
        <w:tc>
          <w:tcPr>
            <w:tcW w:type="dxa" w:w="1587"/>
            <w:shd w:val="clear" w:fill="EAF1FA"/>
          </w:tcPr>
          <w:p>
            <w:pPr>
              <w:spacing w:after="40" w:line="264" w:lineRule="auto"/>
            </w:pPr>
            <w:r/>
            <w:r>
              <w:rPr>
                <w:b/>
                <w:color w:val="1F2A33"/>
                <w:sz w:val="17"/>
              </w:rPr>
              <w:t>Now</w:t>
            </w:r>
          </w:p>
        </w:tc>
        <w:tc>
          <w:tcPr>
            <w:tcW w:type="dxa" w:w="2381"/>
            <w:shd w:val="clear" w:fill="EAF1FA"/>
          </w:tcPr>
          <w:p>
            <w:pPr>
              <w:spacing w:after="40" w:line="264" w:lineRule="auto"/>
            </w:pPr>
            <w:r/>
            <w:r>
              <w:rPr>
                <w:b/>
                <w:color w:val="1F2A33"/>
                <w:sz w:val="17"/>
              </w:rPr>
              <w:t>Action</w:t>
            </w:r>
          </w:p>
        </w:tc>
      </w:tr>
      <w:tr>
        <w:tc>
          <w:tcPr>
            <w:tcW w:type="dxa" w:w="1928"/>
          </w:tcPr>
          <w:p>
            <w:pPr>
              <w:spacing w:after="40" w:line="269" w:lineRule="auto"/>
            </w:pPr>
            <w:r/>
            <w:r>
              <w:rPr>
                <w:sz w:val="17"/>
              </w:rPr>
              <w:t>Figure 1 (overview, already embedded)</w:t>
            </w:r>
          </w:p>
        </w:tc>
        <w:tc>
          <w:tcPr>
            <w:tcW w:type="dxa" w:w="3515"/>
          </w:tcPr>
          <w:p>
            <w:pPr>
              <w:spacing w:after="40" w:line="269" w:lineRule="auto"/>
            </w:pPr>
            <w:r/>
            <w:r>
              <w:rPr>
                <w:sz w:val="17"/>
              </w:rPr>
              <w:t>3. Methodology, after “…the entropy gate and the counterfactual contrastive pathway. Figure 1 traces a relational query through both routes to the final response.”</w:t>
            </w:r>
          </w:p>
        </w:tc>
        <w:tc>
          <w:tcPr>
            <w:tcW w:type="dxa" w:w="1587"/>
          </w:tcPr>
          <w:p>
            <w:pPr>
              <w:spacing w:after="40" w:line="269" w:lineRule="auto"/>
            </w:pPr>
            <w:r/>
            <w:r>
              <w:rPr>
                <w:b/>
                <w:color w:val="9A6A00"/>
                <w:sz w:val="17"/>
              </w:rPr>
              <w:t>CORRECT - keep</w:t>
            </w:r>
          </w:p>
        </w:tc>
        <w:tc>
          <w:tcPr>
            <w:tcW w:type="dxa" w:w="2381"/>
          </w:tcPr>
          <w:p>
            <w:pPr>
              <w:spacing w:after="40" w:line="269" w:lineRule="auto"/>
            </w:pPr>
            <w:r/>
            <w:r>
              <w:rPr>
                <w:sz w:val="17"/>
              </w:rPr>
              <w:t>Keep image. Optional: swap its two-sentence caption for the one-liner C1 in Section 7.</w:t>
            </w:r>
          </w:p>
        </w:tc>
      </w:tr>
      <w:tr>
        <w:tc>
          <w:tcPr>
            <w:tcW w:type="dxa" w:w="1928"/>
          </w:tcPr>
          <w:p>
            <w:pPr>
              <w:spacing w:after="40" w:line="269" w:lineRule="auto"/>
            </w:pPr>
            <w:r/>
            <w:r>
              <w:rPr>
                <w:sz w:val="17"/>
              </w:rPr>
              <w:t>Figure 2 - fig2_line_models</w:t>
            </w:r>
          </w:p>
        </w:tc>
        <w:tc>
          <w:tcPr>
            <w:tcW w:type="dxa" w:w="3515"/>
          </w:tcPr>
          <w:p>
            <w:pPr>
              <w:spacing w:after="40" w:line="269" w:lineRule="auto"/>
            </w:pPr>
            <w:r/>
            <w:r>
              <w:rPr>
                <w:sz w:val="17"/>
              </w:rPr>
              <w:t>5.1, after the paragraph ending “…the gate is what ties the corrective pathway to the queries that need it.”</w:t>
            </w:r>
          </w:p>
        </w:tc>
        <w:tc>
          <w:tcPr>
            <w:tcW w:type="dxa" w:w="1587"/>
          </w:tcPr>
          <w:p>
            <w:pPr>
              <w:spacing w:after="40" w:line="269" w:lineRule="auto"/>
            </w:pPr>
            <w:r/>
            <w:r>
              <w:rPr>
                <w:b/>
                <w:color w:val="9A6A00"/>
                <w:sz w:val="17"/>
              </w:rPr>
              <w:t>CORRECT - keep</w:t>
            </w:r>
          </w:p>
        </w:tc>
        <w:tc>
          <w:tcPr>
            <w:tcW w:type="dxa" w:w="2381"/>
          </w:tcPr>
          <w:p>
            <w:pPr>
              <w:spacing w:after="40" w:line="269" w:lineRule="auto"/>
            </w:pPr>
            <w:r/>
            <w:r>
              <w:rPr>
                <w:sz w:val="17"/>
              </w:rPr>
              <w:t>Replace Caption_1 with C2. Also fix Caption_1's style: it is currently Heading 2 (it would show up in the TOC) - change it to body/caption style.</w:t>
            </w:r>
          </w:p>
        </w:tc>
      </w:tr>
      <w:tr>
        <w:tc>
          <w:tcPr>
            <w:tcW w:type="dxa" w:w="1928"/>
          </w:tcPr>
          <w:p>
            <w:pPr>
              <w:spacing w:after="40" w:line="269" w:lineRule="auto"/>
            </w:pPr>
            <w:r/>
            <w:r>
              <w:rPr>
                <w:sz w:val="17"/>
              </w:rPr>
              <w:t>Figure 3 - fig3_delta_heatmap</w:t>
            </w:r>
          </w:p>
        </w:tc>
        <w:tc>
          <w:tcPr>
            <w:tcW w:type="dxa" w:w="3515"/>
          </w:tcPr>
          <w:p>
            <w:pPr>
              <w:spacing w:after="40" w:line="269" w:lineRule="auto"/>
            </w:pPr>
            <w:r/>
            <w:r>
              <w:rPr>
                <w:sz w:val="17"/>
              </w:rPr>
              <w:t>5.2, after the paragraph ending “…every answer now comes out of a distorted distribution. Figure 3 traces this trade-off.” (polish that sentence per Section 5, item 1)</w:t>
            </w:r>
          </w:p>
        </w:tc>
        <w:tc>
          <w:tcPr>
            <w:tcW w:type="dxa" w:w="1587"/>
          </w:tcPr>
          <w:p>
            <w:pPr>
              <w:spacing w:after="40" w:line="269" w:lineRule="auto"/>
            </w:pPr>
            <w:r/>
            <w:r>
              <w:rPr>
                <w:b/>
                <w:color w:val="9A6A00"/>
                <w:sz w:val="17"/>
              </w:rPr>
              <w:t>CORRECT - keep</w:t>
            </w:r>
          </w:p>
        </w:tc>
        <w:tc>
          <w:tcPr>
            <w:tcW w:type="dxa" w:w="2381"/>
          </w:tcPr>
          <w:p>
            <w:pPr>
              <w:spacing w:after="40" w:line="269" w:lineRule="auto"/>
            </w:pPr>
            <w:r/>
            <w:r>
              <w:rPr>
                <w:sz w:val="17"/>
              </w:rPr>
              <w:t>Replace Caption_2 with C3.</w:t>
            </w:r>
          </w:p>
        </w:tc>
      </w:tr>
      <w:tr>
        <w:tc>
          <w:tcPr>
            <w:tcW w:type="dxa" w:w="1928"/>
          </w:tcPr>
          <w:p>
            <w:pPr>
              <w:spacing w:after="40" w:line="269" w:lineRule="auto"/>
            </w:pPr>
            <w:r/>
            <w:r>
              <w:rPr>
                <w:sz w:val="17"/>
              </w:rPr>
              <w:t>Figure 4 - fig4_recall_spec_bias</w:t>
            </w:r>
          </w:p>
        </w:tc>
        <w:tc>
          <w:tcPr>
            <w:tcW w:type="dxa" w:w="3515"/>
          </w:tcPr>
          <w:p>
            <w:pPr>
              <w:spacing w:after="40" w:line="269" w:lineRule="auto"/>
            </w:pPr>
            <w:r/>
            <w:r>
              <w:rPr>
                <w:sz w:val="17"/>
              </w:rPr>
              <w:t>5.2, after the FIRST half of the “gate makes the recall-specificity trade less costly” paragraph - see the paragraph split in Section 5, item 2. It ends “…recovering the suppressed visual evidence without giving up Specificity. Figure 4 compares Recall and Specificity for the four bias-affected models under all five decoding regimes.”</w:t>
            </w:r>
          </w:p>
        </w:tc>
        <w:tc>
          <w:tcPr>
            <w:tcW w:type="dxa" w:w="1587"/>
          </w:tcPr>
          <w:p>
            <w:pPr>
              <w:spacing w:after="40" w:line="269" w:lineRule="auto"/>
            </w:pPr>
            <w:r/>
            <w:r>
              <w:rPr>
                <w:b/>
                <w:color w:val="9A6A00"/>
                <w:sz w:val="17"/>
              </w:rPr>
              <w:t>CORRECT spot, but the paragraph above it must be split (Section 5, item 2)</w:t>
            </w:r>
          </w:p>
        </w:tc>
        <w:tc>
          <w:tcPr>
            <w:tcW w:type="dxa" w:w="2381"/>
          </w:tcPr>
          <w:p>
            <w:pPr>
              <w:spacing w:after="40" w:line="269" w:lineRule="auto"/>
            </w:pPr>
            <w:r/>
            <w:r>
              <w:rPr>
                <w:sz w:val="17"/>
              </w:rPr>
              <w:t>Keep image where it is relative to the text; replace Caption_3 with C4.</w:t>
            </w:r>
          </w:p>
        </w:tc>
      </w:tr>
      <w:tr>
        <w:tc>
          <w:tcPr>
            <w:tcW w:type="dxa" w:w="1928"/>
          </w:tcPr>
          <w:p>
            <w:pPr>
              <w:spacing w:after="40" w:line="269" w:lineRule="auto"/>
            </w:pPr>
            <w:r/>
            <w:r>
              <w:rPr>
                <w:sz w:val="17"/>
              </w:rPr>
              <w:t>Figure 5 - fig5_sweeps_bias</w:t>
            </w:r>
          </w:p>
        </w:tc>
        <w:tc>
          <w:tcPr>
            <w:tcW w:type="dxa" w:w="3515"/>
          </w:tcPr>
          <w:p>
            <w:pPr>
              <w:spacing w:after="40" w:line="269" w:lineRule="auto"/>
            </w:pPr>
            <w:r/>
            <w:r>
              <w:rPr>
                <w:sz w:val="17"/>
              </w:rPr>
              <w:t>5.2, after the SECOND half of the split paragraph, which now starts “Figure 5 sweeps τ over [0.550, 0.750] on the tuning half…” and ends “…once τ moves past the entropy mass of genuine conflicts.”</w:t>
            </w:r>
          </w:p>
        </w:tc>
        <w:tc>
          <w:tcPr>
            <w:tcW w:type="dxa" w:w="1587"/>
          </w:tcPr>
          <w:p>
            <w:pPr>
              <w:spacing w:after="40" w:line="269" w:lineRule="auto"/>
            </w:pPr>
            <w:r/>
            <w:r>
              <w:rPr>
                <w:b/>
                <w:color w:val="B3261E"/>
                <w:sz w:val="17"/>
              </w:rPr>
              <w:t>WRONG PLACE - it currently sits in Section 5.3 (between the “gate handles this distinction” paragraph and Figure 6)</w:t>
            </w:r>
          </w:p>
        </w:tc>
        <w:tc>
          <w:tcPr>
            <w:tcW w:type="dxa" w:w="2381"/>
          </w:tcPr>
          <w:p>
            <w:pPr>
              <w:spacing w:after="40" w:line="269" w:lineRule="auto"/>
            </w:pPr>
            <w:r/>
            <w:r>
              <w:rPr>
                <w:sz w:val="17"/>
              </w:rPr>
              <w:t>Cut the image + its Caption_4 placeholder from 5.3 and paste them into 5.2 as described. Replace the placeholder with C5.</w:t>
            </w:r>
          </w:p>
        </w:tc>
      </w:tr>
      <w:tr>
        <w:tc>
          <w:tcPr>
            <w:tcW w:type="dxa" w:w="1928"/>
          </w:tcPr>
          <w:p>
            <w:pPr>
              <w:spacing w:after="40" w:line="269" w:lineRule="auto"/>
            </w:pPr>
            <w:r/>
            <w:r>
              <w:rPr>
                <w:sz w:val="17"/>
              </w:rPr>
              <w:t>Figure 6 - fig6_sweeps_sound</w:t>
            </w:r>
          </w:p>
        </w:tc>
        <w:tc>
          <w:tcPr>
            <w:tcW w:type="dxa" w:w="3515"/>
          </w:tcPr>
          <w:p>
            <w:pPr>
              <w:spacing w:after="40" w:line="269" w:lineRule="auto"/>
            </w:pPr>
            <w:r/>
            <w:r>
              <w:rPr>
                <w:sz w:val="17"/>
              </w:rPr>
              <w:t>5.3, after the paragraph ending “…LLaVA-1.5-7B returns its baseline exactly.” (with the Figure 5-to-6 renumber from Section 5, item 3)</w:t>
            </w:r>
          </w:p>
        </w:tc>
        <w:tc>
          <w:tcPr>
            <w:tcW w:type="dxa" w:w="1587"/>
          </w:tcPr>
          <w:p>
            <w:pPr>
              <w:spacing w:after="40" w:line="269" w:lineRule="auto"/>
            </w:pPr>
            <w:r/>
            <w:r>
              <w:rPr>
                <w:b/>
                <w:color w:val="9A6A00"/>
                <w:sz w:val="17"/>
              </w:rPr>
              <w:t>CORRECT - keep (it becomes the only image in 5.3 once Figure 5 leaves)</w:t>
            </w:r>
          </w:p>
        </w:tc>
        <w:tc>
          <w:tcPr>
            <w:tcW w:type="dxa" w:w="2381"/>
          </w:tcPr>
          <w:p>
            <w:pPr>
              <w:spacing w:after="40" w:line="269" w:lineRule="auto"/>
            </w:pPr>
            <w:r/>
            <w:r>
              <w:rPr>
                <w:sz w:val="17"/>
              </w:rPr>
              <w:t>Replace Caption_5 with C6. Also fix Caption_5's style: it is currently Heading 2.</w:t>
            </w:r>
          </w:p>
        </w:tc>
      </w:tr>
      <w:tr>
        <w:tc>
          <w:tcPr>
            <w:tcW w:type="dxa" w:w="1928"/>
          </w:tcPr>
          <w:p>
            <w:pPr>
              <w:spacing w:after="40" w:line="269" w:lineRule="auto"/>
            </w:pPr>
            <w:r/>
            <w:r>
              <w:rPr>
                <w:sz w:val="17"/>
              </w:rPr>
              <w:t>Figure 7 - fig7_tau_robustness</w:t>
            </w:r>
          </w:p>
        </w:tc>
        <w:tc>
          <w:tcPr>
            <w:tcW w:type="dxa" w:w="3515"/>
          </w:tcPr>
          <w:p>
            <w:pPr>
              <w:spacing w:after="40" w:line="269" w:lineRule="auto"/>
            </w:pPr>
            <w:r/>
            <w:r>
              <w:rPr>
                <w:sz w:val="17"/>
              </w:rPr>
              <w:t>5.4, after the SECOND paragraph (the one ending “…holding both fluency and inference cost steady.”), i.e. BEFORE the “The gate routes 40.9%…” paragraph.</w:t>
            </w:r>
          </w:p>
        </w:tc>
        <w:tc>
          <w:tcPr>
            <w:tcW w:type="dxa" w:w="1587"/>
          </w:tcPr>
          <w:p>
            <w:pPr>
              <w:spacing w:after="40" w:line="269" w:lineRule="auto"/>
            </w:pPr>
            <w:r/>
            <w:r>
              <w:rPr>
                <w:b/>
                <w:color w:val="9A6A00"/>
                <w:sz w:val="17"/>
              </w:rPr>
              <w:t>ONE PARAGRAPH TOO LATE - it currently follows the gate-routing paragraph, one paragraph after its reference</w:t>
            </w:r>
          </w:p>
        </w:tc>
        <w:tc>
          <w:tcPr>
            <w:tcW w:type="dxa" w:w="2381"/>
          </w:tcPr>
          <w:p>
            <w:pPr>
              <w:spacing w:after="40" w:line="269" w:lineRule="auto"/>
            </w:pPr>
            <w:r/>
            <w:r>
              <w:rPr>
                <w:sz w:val="17"/>
              </w:rPr>
              <w:t>Move image + Caption_6 up one paragraph. Replace the placeholder with C7.</w:t>
            </w:r>
          </w:p>
        </w:tc>
      </w:tr>
      <w:tr>
        <w:tc>
          <w:tcPr>
            <w:tcW w:type="dxa" w:w="1928"/>
          </w:tcPr>
          <w:p>
            <w:pPr>
              <w:spacing w:after="40" w:line="269" w:lineRule="auto"/>
            </w:pPr>
            <w:r/>
            <w:r>
              <w:rPr>
                <w:sz w:val="17"/>
              </w:rPr>
              <w:t>Appendix Figure A1 - figA1_metrics_heatmap</w:t>
            </w:r>
          </w:p>
        </w:tc>
        <w:tc>
          <w:tcPr>
            <w:tcW w:type="dxa" w:w="3515"/>
          </w:tcPr>
          <w:p>
            <w:pPr>
              <w:spacing w:after="40" w:line="269" w:lineRule="auto"/>
            </w:pPr>
            <w:r/>
            <w:r>
              <w:rPr>
                <w:sz w:val="17"/>
              </w:rPr>
              <w:t>Appendix A, after Table A1 (the new 21×6 table from table.docx).</w:t>
            </w:r>
          </w:p>
        </w:tc>
        <w:tc>
          <w:tcPr>
            <w:tcW w:type="dxa" w:w="1587"/>
          </w:tcPr>
          <w:p>
            <w:pPr>
              <w:spacing w:after="40" w:line="269" w:lineRule="auto"/>
            </w:pPr>
            <w:r/>
            <w:r>
              <w:rPr>
                <w:b/>
                <w:color w:val="9A6A00"/>
                <w:sz w:val="17"/>
              </w:rPr>
              <w:t>CORRECT - keep</w:t>
            </w:r>
          </w:p>
        </w:tc>
        <w:tc>
          <w:tcPr>
            <w:tcW w:type="dxa" w:w="2381"/>
          </w:tcPr>
          <w:p>
            <w:pPr>
              <w:spacing w:after="40" w:line="269" w:lineRule="auto"/>
            </w:pPr>
            <w:r/>
            <w:r>
              <w:rPr>
                <w:sz w:val="17"/>
              </w:rPr>
              <w:t>Replace Caption_7 with C8.</w:t>
            </w:r>
          </w:p>
        </w:tc>
      </w:tr>
      <w:tr>
        <w:tc>
          <w:tcPr>
            <w:tcW w:type="dxa" w:w="1928"/>
          </w:tcPr>
          <w:p>
            <w:pPr>
              <w:spacing w:after="40" w:line="269" w:lineRule="auto"/>
            </w:pPr>
            <w:r/>
            <w:r>
              <w:rPr>
                <w:sz w:val="17"/>
              </w:rPr>
              <w:t>Appendix Figure A2a - figA2a_sweep_heatmap</w:t>
            </w:r>
          </w:p>
        </w:tc>
        <w:tc>
          <w:tcPr>
            <w:tcW w:type="dxa" w:w="3515"/>
          </w:tcPr>
          <w:p>
            <w:pPr>
              <w:spacing w:after="40" w:line="269" w:lineRule="auto"/>
            </w:pPr>
            <w:r/>
            <w:r>
              <w:rPr>
                <w:sz w:val="17"/>
              </w:rPr>
              <w:t>Between Figure A1's caption and the Figure A2b image: order must be A1 image, A1 caption, A2a image, A2a caption, A2b image, A2b caption.</w:t>
            </w:r>
          </w:p>
        </w:tc>
        <w:tc>
          <w:tcPr>
            <w:tcW w:type="dxa" w:w="1587"/>
          </w:tcPr>
          <w:p>
            <w:pPr>
              <w:spacing w:after="40" w:line="269" w:lineRule="auto"/>
            </w:pPr>
            <w:r/>
            <w:r>
              <w:rPr>
                <w:b/>
                <w:color w:val="B3261E"/>
                <w:sz w:val="17"/>
              </w:rPr>
              <w:t>MISSING - the file contains only 9 of the 10 figures; this one was never inserted</w:t>
            </w:r>
          </w:p>
        </w:tc>
        <w:tc>
          <w:tcPr>
            <w:tcW w:type="dxa" w:w="2381"/>
          </w:tcPr>
          <w:p>
            <w:pPr>
              <w:spacing w:after="40" w:line="269" w:lineRule="auto"/>
            </w:pPr>
            <w:r/>
            <w:r>
              <w:rPr>
                <w:sz w:val="17"/>
              </w:rPr>
              <w:t>Insert figA2a_sweep_heatmap.png (GitHub v4/ folder) at the position above; add a new placeholder line and paste C9.</w:t>
            </w:r>
          </w:p>
        </w:tc>
      </w:tr>
      <w:tr>
        <w:tc>
          <w:tcPr>
            <w:tcW w:type="dxa" w:w="1928"/>
          </w:tcPr>
          <w:p>
            <w:pPr>
              <w:spacing w:after="40" w:line="269" w:lineRule="auto"/>
            </w:pPr>
            <w:r/>
            <w:r>
              <w:rPr>
                <w:sz w:val="17"/>
              </w:rPr>
              <w:t>Appendix Figure A2b - figA2b_tau_star_gain</w:t>
            </w:r>
          </w:p>
        </w:tc>
        <w:tc>
          <w:tcPr>
            <w:tcW w:type="dxa" w:w="3515"/>
          </w:tcPr>
          <w:p>
            <w:pPr>
              <w:spacing w:after="40" w:line="269" w:lineRule="auto"/>
            </w:pPr>
            <w:r/>
            <w:r>
              <w:rPr>
                <w:sz w:val="17"/>
              </w:rPr>
              <w:t>Appendix A, last figure slot, after the A2a caption.</w:t>
            </w:r>
          </w:p>
        </w:tc>
        <w:tc>
          <w:tcPr>
            <w:tcW w:type="dxa" w:w="1587"/>
          </w:tcPr>
          <w:p>
            <w:pPr>
              <w:spacing w:after="40" w:line="269" w:lineRule="auto"/>
            </w:pPr>
            <w:r/>
            <w:r>
              <w:rPr>
                <w:b/>
                <w:color w:val="9A6A00"/>
                <w:sz w:val="17"/>
              </w:rPr>
              <w:t>CORRECT - keep</w:t>
            </w:r>
          </w:p>
        </w:tc>
        <w:tc>
          <w:tcPr>
            <w:tcW w:type="dxa" w:w="2381"/>
          </w:tcPr>
          <w:p>
            <w:pPr>
              <w:spacing w:after="40" w:line="269" w:lineRule="auto"/>
            </w:pPr>
            <w:r/>
            <w:r>
              <w:rPr>
                <w:sz w:val="17"/>
              </w:rPr>
              <w:t>Replace Caption_8 with C10.</w:t>
            </w:r>
          </w:p>
        </w:tc>
      </w:tr>
    </w:tbl>
    <w:p>
      <w:pPr>
        <w:pStyle w:val="Heading1"/>
      </w:pPr>
      <w:r>
        <w:rPr>
          <w:b w:val="0"/>
          <w:i w:val="0"/>
        </w:rPr>
        <w:t>4. In-text “Figure X shows… / Table 1 shows…” audit</w:t>
      </w:r>
    </w:p>
    <w:p>
      <w:r>
        <w:rPr>
          <w:b w:val="0"/>
          <w:i w:val="0"/>
          <w:sz w:val="20"/>
        </w:rPr>
        <w:t>Every figure/table mention in running text was checked against what the referenced asset actually shows. Five need changes; the rest are already correct. (Items 2-4 below are the same renumbering caused by the new figure plan - bias sweeps = Figure 5, sound sweeps = Figure 6, robustness view = Figure 7.)</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tblHeader w:val="true"/>
        </w:trPr>
        <w:tc>
          <w:tcPr>
            <w:tcW w:type="dxa" w:w="1644"/>
            <w:shd w:val="clear" w:fill="EAF1FA"/>
          </w:tcPr>
          <w:p>
            <w:pPr>
              <w:spacing w:after="40" w:line="264" w:lineRule="auto"/>
            </w:pPr>
            <w:r/>
            <w:r>
              <w:rPr>
                <w:b/>
                <w:color w:val="1F2A33"/>
                <w:sz w:val="17"/>
              </w:rPr>
              <w:t>Location</w:t>
            </w:r>
          </w:p>
        </w:tc>
        <w:tc>
          <w:tcPr>
            <w:tcW w:type="dxa" w:w="3061"/>
            <w:shd w:val="clear" w:fill="EAF1FA"/>
          </w:tcPr>
          <w:p>
            <w:pPr>
              <w:spacing w:after="40" w:line="264" w:lineRule="auto"/>
            </w:pPr>
            <w:r/>
            <w:r>
              <w:rPr>
                <w:b/>
                <w:color w:val="1F2A33"/>
                <w:sz w:val="17"/>
              </w:rPr>
              <w:t>Current wording</w:t>
            </w:r>
          </w:p>
        </w:tc>
        <w:tc>
          <w:tcPr>
            <w:tcW w:type="dxa" w:w="1474"/>
            <w:shd w:val="clear" w:fill="EAF1FA"/>
          </w:tcPr>
          <w:p>
            <w:pPr>
              <w:spacing w:after="40" w:line="264" w:lineRule="auto"/>
            </w:pPr>
            <w:r/>
            <w:r>
              <w:rPr>
                <w:b/>
                <w:color w:val="1F2A33"/>
                <w:sz w:val="17"/>
              </w:rPr>
              <w:t>Verdict</w:t>
            </w:r>
          </w:p>
        </w:tc>
        <w:tc>
          <w:tcPr>
            <w:tcW w:type="dxa" w:w="3231"/>
            <w:shd w:val="clear" w:fill="EAF1FA"/>
          </w:tcPr>
          <w:p>
            <w:pPr>
              <w:spacing w:after="40" w:line="264" w:lineRule="auto"/>
            </w:pPr>
            <w:r/>
            <w:r>
              <w:rPr>
                <w:b/>
                <w:color w:val="1F2A33"/>
                <w:sz w:val="17"/>
              </w:rPr>
              <w:t>Fix</w:t>
            </w:r>
          </w:p>
        </w:tc>
      </w:tr>
      <w:tr>
        <w:tc>
          <w:tcPr>
            <w:tcW w:type="dxa" w:w="1644"/>
          </w:tcPr>
          <w:p>
            <w:pPr>
              <w:spacing w:after="40" w:line="269" w:lineRule="auto"/>
            </w:pPr>
            <w:r/>
            <w:r>
              <w:rPr>
                <w:sz w:val="17"/>
              </w:rPr>
              <w:t>3. Methodology, intro</w:t>
            </w:r>
          </w:p>
        </w:tc>
        <w:tc>
          <w:tcPr>
            <w:tcW w:type="dxa" w:w="3061"/>
          </w:tcPr>
          <w:p>
            <w:pPr>
              <w:spacing w:after="40" w:line="269" w:lineRule="auto"/>
            </w:pPr>
            <w:r/>
            <w:r>
              <w:rPr>
                <w:sz w:val="17"/>
              </w:rPr>
              <w:t>“Figure 1 traces a relational query through both routes to the final response.”</w:t>
            </w:r>
          </w:p>
        </w:tc>
        <w:tc>
          <w:tcPr>
            <w:tcW w:type="dxa" w:w="1474"/>
          </w:tcPr>
          <w:p>
            <w:pPr>
              <w:spacing w:after="40" w:line="269" w:lineRule="auto"/>
            </w:pPr>
            <w:r/>
            <w:r>
              <w:rPr>
                <w:b/>
                <w:color w:val="1B7A3D"/>
                <w:sz w:val="17"/>
              </w:rPr>
              <w:t>APPLIED - correct</w:t>
            </w:r>
          </w:p>
        </w:tc>
        <w:tc>
          <w:tcPr>
            <w:tcW w:type="dxa" w:w="3231"/>
          </w:tcPr>
          <w:p>
            <w:pPr>
              <w:spacing w:after="40" w:line="269" w:lineRule="auto"/>
            </w:pPr>
            <w:r/>
            <w:r>
              <w:rPr>
                <w:sz w:val="17"/>
              </w:rPr>
              <w:t>None.</w:t>
            </w:r>
          </w:p>
        </w:tc>
      </w:tr>
      <w:tr>
        <w:tc>
          <w:tcPr>
            <w:tcW w:type="dxa" w:w="1644"/>
          </w:tcPr>
          <w:p>
            <w:pPr>
              <w:spacing w:after="40" w:line="269" w:lineRule="auto"/>
            </w:pPr>
            <w:r/>
            <w:r>
              <w:rPr>
                <w:sz w:val="17"/>
              </w:rPr>
              <w:t>5.1, first sentence</w:t>
            </w:r>
          </w:p>
        </w:tc>
        <w:tc>
          <w:tcPr>
            <w:tcW w:type="dxa" w:w="3061"/>
          </w:tcPr>
          <w:p>
            <w:pPr>
              <w:spacing w:after="40" w:line="269" w:lineRule="auto"/>
            </w:pPr>
            <w:r/>
            <w:r>
              <w:rPr>
                <w:sz w:val="17"/>
              </w:rPr>
              <w:t>“Table 1 summarizes the five decoding regimes.”</w:t>
            </w:r>
          </w:p>
        </w:tc>
        <w:tc>
          <w:tcPr>
            <w:tcW w:type="dxa" w:w="1474"/>
          </w:tcPr>
          <w:p>
            <w:pPr>
              <w:spacing w:after="40" w:line="269" w:lineRule="auto"/>
            </w:pPr>
            <w:r/>
            <w:r>
              <w:rPr>
                <w:b/>
                <w:color w:val="9A6A00"/>
                <w:sz w:val="17"/>
              </w:rPr>
              <w:t>CORRECT only after Section 2 is done</w:t>
            </w:r>
          </w:p>
        </w:tc>
        <w:tc>
          <w:tcPr>
            <w:tcW w:type="dxa" w:w="3231"/>
          </w:tcPr>
          <w:p>
            <w:pPr>
              <w:spacing w:after="40" w:line="269" w:lineRule="auto"/>
            </w:pPr>
            <w:r/>
            <w:r>
              <w:rPr>
                <w:sz w:val="17"/>
              </w:rPr>
              <w:t>Keep, but only once the five-regime Table 1 is in - with the old table the sentence is false.</w:t>
            </w:r>
          </w:p>
        </w:tc>
      </w:tr>
      <w:tr>
        <w:tc>
          <w:tcPr>
            <w:tcW w:type="dxa" w:w="1644"/>
          </w:tcPr>
          <w:p>
            <w:pPr>
              <w:spacing w:after="40" w:line="269" w:lineRule="auto"/>
            </w:pPr>
            <w:r/>
            <w:r>
              <w:rPr>
                <w:sz w:val="17"/>
              </w:rPr>
              <w:t>5.1</w:t>
            </w:r>
          </w:p>
        </w:tc>
        <w:tc>
          <w:tcPr>
            <w:tcW w:type="dxa" w:w="3061"/>
          </w:tcPr>
          <w:p>
            <w:pPr>
              <w:spacing w:after="40" w:line="269" w:lineRule="auto"/>
            </w:pPr>
            <w:r/>
            <w:r>
              <w:rPr>
                <w:sz w:val="17"/>
              </w:rPr>
              <w:t>“Figure 2 plots the balanced-accuracy comparison.”</w:t>
            </w:r>
          </w:p>
        </w:tc>
        <w:tc>
          <w:tcPr>
            <w:tcW w:type="dxa" w:w="1474"/>
          </w:tcPr>
          <w:p>
            <w:pPr>
              <w:spacing w:after="40" w:line="269" w:lineRule="auto"/>
            </w:pPr>
            <w:r/>
            <w:r>
              <w:rPr>
                <w:b/>
                <w:color w:val="1B7A3D"/>
                <w:sz w:val="17"/>
              </w:rPr>
              <w:t>APPLIED - correct</w:t>
            </w:r>
          </w:p>
        </w:tc>
        <w:tc>
          <w:tcPr>
            <w:tcW w:type="dxa" w:w="3231"/>
          </w:tcPr>
          <w:p>
            <w:pPr>
              <w:spacing w:after="40" w:line="269" w:lineRule="auto"/>
            </w:pPr>
            <w:r/>
            <w:r>
              <w:rPr>
                <w:sz w:val="17"/>
              </w:rPr>
              <w:t>None.</w:t>
            </w:r>
          </w:p>
        </w:tc>
      </w:tr>
      <w:tr>
        <w:tc>
          <w:tcPr>
            <w:tcW w:type="dxa" w:w="1644"/>
          </w:tcPr>
          <w:p>
            <w:pPr>
              <w:spacing w:after="40" w:line="269" w:lineRule="auto"/>
            </w:pPr>
            <w:r/>
            <w:r>
              <w:rPr>
                <w:sz w:val="17"/>
              </w:rPr>
              <w:t>5.1, end of paragraph</w:t>
            </w:r>
          </w:p>
        </w:tc>
        <w:tc>
          <w:tcPr>
            <w:tcW w:type="dxa" w:w="3061"/>
          </w:tcPr>
          <w:p>
            <w:pPr>
              <w:spacing w:after="40" w:line="269" w:lineRule="auto"/>
            </w:pPr>
            <w:r/>
            <w:r>
              <w:rPr>
                <w:sz w:val="17"/>
              </w:rPr>
              <w:t>“The VCD and SID rows underline the same point from the outside.”</w:t>
            </w:r>
          </w:p>
        </w:tc>
        <w:tc>
          <w:tcPr>
            <w:tcW w:type="dxa" w:w="1474"/>
          </w:tcPr>
          <w:p>
            <w:pPr>
              <w:spacing w:after="40" w:line="269" w:lineRule="auto"/>
            </w:pPr>
            <w:r/>
            <w:r>
              <w:rPr>
                <w:b/>
                <w:color w:val="9A6A00"/>
                <w:sz w:val="17"/>
              </w:rPr>
              <w:t>CORRECT only after Section 2 is done</w:t>
            </w:r>
          </w:p>
        </w:tc>
        <w:tc>
          <w:tcPr>
            <w:tcW w:type="dxa" w:w="3231"/>
          </w:tcPr>
          <w:p>
            <w:pPr>
              <w:spacing w:after="40" w:line="269" w:lineRule="auto"/>
            </w:pPr>
            <w:r/>
            <w:r>
              <w:rPr>
                <w:sz w:val="17"/>
              </w:rPr>
              <w:t>Keep once the five-regime table is in; the rows it cites exist there.</w:t>
            </w:r>
          </w:p>
        </w:tc>
      </w:tr>
      <w:tr>
        <w:tc>
          <w:tcPr>
            <w:tcW w:type="dxa" w:w="1644"/>
          </w:tcPr>
          <w:p>
            <w:pPr>
              <w:spacing w:after="40" w:line="269" w:lineRule="auto"/>
            </w:pPr>
            <w:r/>
            <w:r>
              <w:rPr>
                <w:sz w:val="17"/>
              </w:rPr>
              <w:t>5.2, end of first paragraph</w:t>
            </w:r>
          </w:p>
        </w:tc>
        <w:tc>
          <w:tcPr>
            <w:tcW w:type="dxa" w:w="3061"/>
          </w:tcPr>
          <w:p>
            <w:pPr>
              <w:spacing w:after="40" w:line="269" w:lineRule="auto"/>
            </w:pPr>
            <w:r/>
            <w:r>
              <w:rPr>
                <w:sz w:val="17"/>
              </w:rPr>
              <w:t>“Figure 3 traces this trade-off.”</w:t>
            </w:r>
          </w:p>
        </w:tc>
        <w:tc>
          <w:tcPr>
            <w:tcW w:type="dxa" w:w="1474"/>
          </w:tcPr>
          <w:p>
            <w:pPr>
              <w:spacing w:after="40" w:line="269" w:lineRule="auto"/>
            </w:pPr>
            <w:r/>
            <w:r>
              <w:rPr>
                <w:b/>
                <w:color w:val="9A6A00"/>
                <w:sz w:val="17"/>
              </w:rPr>
              <w:t>IMPRECISE</w:t>
            </w:r>
          </w:p>
        </w:tc>
        <w:tc>
          <w:tcPr>
            <w:tcW w:type="dxa" w:w="3231"/>
          </w:tcPr>
          <w:p>
            <w:pPr>
              <w:spacing w:after="40" w:line="269" w:lineRule="auto"/>
            </w:pPr>
            <w:r/>
            <w:r>
              <w:rPr>
                <w:sz w:val="17"/>
              </w:rPr>
              <w:t>Figure 3 shows the net balanced-accuracy change, not the recall/specificity split itself. Replace with: “Figure 3 traces the net effect of this trade-off on balanced accuracy.”</w:t>
            </w:r>
          </w:p>
        </w:tc>
      </w:tr>
      <w:tr>
        <w:tc>
          <w:tcPr>
            <w:tcW w:type="dxa" w:w="1644"/>
          </w:tcPr>
          <w:p>
            <w:pPr>
              <w:spacing w:after="40" w:line="269" w:lineRule="auto"/>
            </w:pPr>
            <w:r/>
            <w:r>
              <w:rPr>
                <w:sz w:val="17"/>
              </w:rPr>
              <w:t>5.2, second paragraph</w:t>
            </w:r>
          </w:p>
        </w:tc>
        <w:tc>
          <w:tcPr>
            <w:tcW w:type="dxa" w:w="3061"/>
          </w:tcPr>
          <w:p>
            <w:pPr>
              <w:spacing w:after="40" w:line="269" w:lineRule="auto"/>
            </w:pPr>
            <w:r/>
            <w:r>
              <w:rPr>
                <w:sz w:val="17"/>
              </w:rPr>
              <w:t>“Figure 4 sweeps τ over [0.550, 0.750] for the four bias-affected architectures.”</w:t>
            </w:r>
          </w:p>
        </w:tc>
        <w:tc>
          <w:tcPr>
            <w:tcW w:type="dxa" w:w="1474"/>
          </w:tcPr>
          <w:p>
            <w:pPr>
              <w:spacing w:after="40" w:line="269" w:lineRule="auto"/>
            </w:pPr>
            <w:r/>
            <w:r>
              <w:rPr>
                <w:b/>
                <w:color w:val="B3261E"/>
                <w:sz w:val="17"/>
              </w:rPr>
              <w:t>WRONG FIGURE</w:t>
            </w:r>
          </w:p>
        </w:tc>
        <w:tc>
          <w:tcPr>
            <w:tcW w:type="dxa" w:w="3231"/>
          </w:tcPr>
          <w:p>
            <w:pPr>
              <w:spacing w:after="40" w:line="269" w:lineRule="auto"/>
            </w:pPr>
            <w:r/>
            <w:r>
              <w:rPr>
                <w:sz w:val="17"/>
              </w:rPr>
              <w:t>The τ-sweep is Figure 5 (fig4 is the recall/specificity slopegraph). Fix as part of the paragraph split - Section 5, item 2.</w:t>
            </w:r>
          </w:p>
        </w:tc>
      </w:tr>
      <w:tr>
        <w:tc>
          <w:tcPr>
            <w:tcW w:type="dxa" w:w="1644"/>
          </w:tcPr>
          <w:p>
            <w:pPr>
              <w:spacing w:after="40" w:line="269" w:lineRule="auto"/>
            </w:pPr>
            <w:r/>
            <w:r>
              <w:rPr>
                <w:sz w:val="17"/>
              </w:rPr>
              <w:t>5.3, second paragraph</w:t>
            </w:r>
          </w:p>
        </w:tc>
        <w:tc>
          <w:tcPr>
            <w:tcW w:type="dxa" w:w="3061"/>
          </w:tcPr>
          <w:p>
            <w:pPr>
              <w:spacing w:after="40" w:line="269" w:lineRule="auto"/>
            </w:pPr>
            <w:r/>
            <w:r>
              <w:rPr>
                <w:sz w:val="17"/>
              </w:rPr>
              <w:t>“Figure 5 shows the sweep for the structurally sound architectures:…”</w:t>
            </w:r>
          </w:p>
        </w:tc>
        <w:tc>
          <w:tcPr>
            <w:tcW w:type="dxa" w:w="1474"/>
          </w:tcPr>
          <w:p>
            <w:pPr>
              <w:spacing w:after="40" w:line="269" w:lineRule="auto"/>
            </w:pPr>
            <w:r/>
            <w:r>
              <w:rPr>
                <w:b/>
                <w:color w:val="B3261E"/>
                <w:sz w:val="17"/>
              </w:rPr>
              <w:t>WRONG FIGURE</w:t>
            </w:r>
          </w:p>
        </w:tc>
        <w:tc>
          <w:tcPr>
            <w:tcW w:type="dxa" w:w="3231"/>
          </w:tcPr>
          <w:p>
            <w:pPr>
              <w:spacing w:after="40" w:line="269" w:lineRule="auto"/>
            </w:pPr>
            <w:r/>
            <w:r>
              <w:rPr>
                <w:sz w:val="17"/>
              </w:rPr>
              <w:t>Replace with: “Figure 6 shows the sweep for the structurally sound architectures: Idefics2-8B stays within a 0.7-point band across the entire range, LLaVA-1.5-7B returns its baseline exactly, and LLaVA-v1.6-Mistral-7B merges with its baseline from τ = 0.71 onward.”</w:t>
            </w:r>
          </w:p>
        </w:tc>
      </w:tr>
      <w:tr>
        <w:tc>
          <w:tcPr>
            <w:tcW w:type="dxa" w:w="1644"/>
          </w:tcPr>
          <w:p>
            <w:pPr>
              <w:spacing w:after="40" w:line="269" w:lineRule="auto"/>
            </w:pPr>
            <w:r/>
            <w:r>
              <w:rPr>
                <w:sz w:val="17"/>
              </w:rPr>
              <w:t>5.4, first paragraph</w:t>
            </w:r>
          </w:p>
        </w:tc>
        <w:tc>
          <w:tcPr>
            <w:tcW w:type="dxa" w:w="3061"/>
          </w:tcPr>
          <w:p>
            <w:pPr>
              <w:spacing w:after="40" w:line="269" w:lineRule="auto"/>
            </w:pPr>
            <w:r/>
            <w:r>
              <w:rPr>
                <w:sz w:val="17"/>
              </w:rPr>
              <w:t>“…as more uncertain queries get sent to System 2 (Figure 4).”</w:t>
            </w:r>
          </w:p>
        </w:tc>
        <w:tc>
          <w:tcPr>
            <w:tcW w:type="dxa" w:w="1474"/>
          </w:tcPr>
          <w:p>
            <w:pPr>
              <w:spacing w:after="40" w:line="269" w:lineRule="auto"/>
            </w:pPr>
            <w:r/>
            <w:r>
              <w:rPr>
                <w:b/>
                <w:color w:val="B3261E"/>
                <w:sz w:val="17"/>
              </w:rPr>
              <w:t>WRONG FIGURE</w:t>
            </w:r>
          </w:p>
        </w:tc>
        <w:tc>
          <w:tcPr>
            <w:tcW w:type="dxa" w:w="3231"/>
          </w:tcPr>
          <w:p>
            <w:pPr>
              <w:spacing w:after="40" w:line="269" w:lineRule="auto"/>
            </w:pPr>
            <w:r/>
            <w:r>
              <w:rPr>
                <w:sz w:val="17"/>
              </w:rPr>
              <w:t>Replace “(Figure 4)” with “(Figure 5)”.</w:t>
            </w:r>
          </w:p>
        </w:tc>
      </w:tr>
      <w:tr>
        <w:tc>
          <w:tcPr>
            <w:tcW w:type="dxa" w:w="1644"/>
          </w:tcPr>
          <w:p>
            <w:pPr>
              <w:spacing w:after="40" w:line="269" w:lineRule="auto"/>
            </w:pPr>
            <w:r/>
            <w:r>
              <w:rPr>
                <w:sz w:val="17"/>
              </w:rPr>
              <w:t>5.4, second paragraph</w:t>
            </w:r>
          </w:p>
        </w:tc>
        <w:tc>
          <w:tcPr>
            <w:tcW w:type="dxa" w:w="3061"/>
          </w:tcPr>
          <w:p>
            <w:pPr>
              <w:spacing w:after="40" w:line="269" w:lineRule="auto"/>
            </w:pPr>
            <w:r/>
            <w:r>
              <w:rPr>
                <w:sz w:val="17"/>
              </w:rPr>
              <w:t>“Idefics2-8B never leaves a 0.7-point band anywhere in the sweep (Figure 6)…”</w:t>
            </w:r>
          </w:p>
        </w:tc>
        <w:tc>
          <w:tcPr>
            <w:tcW w:type="dxa" w:w="1474"/>
          </w:tcPr>
          <w:p>
            <w:pPr>
              <w:spacing w:after="40" w:line="269" w:lineRule="auto"/>
            </w:pPr>
            <w:r/>
            <w:r>
              <w:rPr>
                <w:b/>
                <w:color w:val="1B7A3D"/>
                <w:sz w:val="17"/>
              </w:rPr>
              <w:t>APPLIED - correct</w:t>
            </w:r>
          </w:p>
        </w:tc>
        <w:tc>
          <w:tcPr>
            <w:tcW w:type="dxa" w:w="3231"/>
          </w:tcPr>
          <w:p>
            <w:pPr>
              <w:spacing w:after="40" w:line="269" w:lineRule="auto"/>
            </w:pPr>
            <w:r/>
            <w:r>
              <w:rPr>
                <w:sz w:val="17"/>
              </w:rPr>
              <w:t>None.</w:t>
            </w:r>
          </w:p>
        </w:tc>
      </w:tr>
      <w:tr>
        <w:tc>
          <w:tcPr>
            <w:tcW w:type="dxa" w:w="1644"/>
          </w:tcPr>
          <w:p>
            <w:pPr>
              <w:spacing w:after="40" w:line="269" w:lineRule="auto"/>
            </w:pPr>
            <w:r/>
            <w:r>
              <w:rPr>
                <w:sz w:val="17"/>
              </w:rPr>
              <w:t>5.4, second paragraph</w:t>
            </w:r>
          </w:p>
        </w:tc>
        <w:tc>
          <w:tcPr>
            <w:tcW w:type="dxa" w:w="3061"/>
          </w:tcPr>
          <w:p>
            <w:pPr>
              <w:spacing w:after="40" w:line="269" w:lineRule="auto"/>
            </w:pPr>
            <w:r/>
            <w:r>
              <w:rPr>
                <w:sz w:val="17"/>
              </w:rPr>
              <w:t>“Figure 7 maps the full sweep for six of the seven models (the Mistral panel follows with its re-run), and the complete numbers sit in Appendix A.”</w:t>
            </w:r>
          </w:p>
        </w:tc>
        <w:tc>
          <w:tcPr>
            <w:tcW w:type="dxa" w:w="1474"/>
          </w:tcPr>
          <w:p>
            <w:pPr>
              <w:spacing w:after="40" w:line="269" w:lineRule="auto"/>
            </w:pPr>
            <w:r/>
            <w:r>
              <w:rPr>
                <w:b/>
                <w:color w:val="9A6A00"/>
                <w:sz w:val="17"/>
              </w:rPr>
              <w:t>STALE</w:t>
            </w:r>
          </w:p>
        </w:tc>
        <w:tc>
          <w:tcPr>
            <w:tcW w:type="dxa" w:w="3231"/>
          </w:tcPr>
          <w:p>
            <w:pPr>
              <w:spacing w:after="40" w:line="269" w:lineRule="auto"/>
            </w:pPr>
            <w:r/>
            <w:r>
              <w:rPr>
                <w:sz w:val="17"/>
              </w:rPr>
              <w:t>Written for the retired Figure 7 design. Replace with: “Figure 7 maps the full sweep for all seven models, and the complete tuning-half numbers sit in Appendix A.” (Mistral's curve there is the full-set run; the caption in captions.docx already says so.)</w:t>
            </w:r>
          </w:p>
        </w:tc>
      </w:tr>
      <w:tr>
        <w:tc>
          <w:tcPr>
            <w:tcW w:type="dxa" w:w="1644"/>
          </w:tcPr>
          <w:p>
            <w:pPr>
              <w:spacing w:after="40" w:line="269" w:lineRule="auto"/>
            </w:pPr>
            <w:r/>
            <w:r>
              <w:rPr>
                <w:sz w:val="17"/>
              </w:rPr>
              <w:t>Appendix A</w:t>
            </w:r>
          </w:p>
        </w:tc>
        <w:tc>
          <w:tcPr>
            <w:tcW w:type="dxa" w:w="3061"/>
          </w:tcPr>
          <w:p>
            <w:pPr>
              <w:spacing w:after="40" w:line="269" w:lineRule="auto"/>
            </w:pPr>
            <w:r/>
            <w:r>
              <w:rPr>
                <w:sz w:val="17"/>
              </w:rPr>
              <w:t>No mention of Figures A1 / A2a / A2b anywhere.</w:t>
            </w:r>
          </w:p>
        </w:tc>
        <w:tc>
          <w:tcPr>
            <w:tcW w:type="dxa" w:w="1474"/>
          </w:tcPr>
          <w:p>
            <w:pPr>
              <w:spacing w:after="40" w:line="269" w:lineRule="auto"/>
            </w:pPr>
            <w:r/>
            <w:r>
              <w:rPr>
                <w:b/>
                <w:color w:val="B3261E"/>
                <w:sz w:val="17"/>
              </w:rPr>
              <w:t>MISSING POINTERS</w:t>
            </w:r>
          </w:p>
        </w:tc>
        <w:tc>
          <w:tcPr>
            <w:tcW w:type="dxa" w:w="3231"/>
          </w:tcPr>
          <w:p>
            <w:pPr>
              <w:spacing w:after="40" w:line="269" w:lineRule="auto"/>
            </w:pPr>
            <w:r/>
            <w:r>
              <w:rPr>
                <w:sz w:val="17"/>
              </w:rPr>
              <w:t>The rewritten appendix paragraph in Section 6 below adds all three pointers.</w:t>
            </w:r>
          </w:p>
        </w:tc>
      </w:tr>
    </w:tbl>
    <w:p>
      <w:pPr>
        <w:pStyle w:val="Heading1"/>
      </w:pPr>
      <w:r>
        <w:rPr>
          <w:b w:val="0"/>
          <w:i w:val="0"/>
        </w:rPr>
        <w:t>5. Sentence-level edits - paragraph split, missed edits, stale numbers</w:t>
      </w:r>
    </w:p>
    <w:p>
      <w:pPr>
        <w:pStyle w:val="Heading2"/>
      </w:pPr>
      <w:r>
        <w:rPr>
          <w:b w:val="0"/>
          <w:i w:val="0"/>
        </w:rPr>
        <w:t>5.1  Split the “trade” paragraph in Section 5.2 (required for the Figure 4 / Figure 5 references)</w:t>
      </w:r>
    </w:p>
    <w:p>
      <w:r>
        <w:rPr>
          <w:b w:val="0"/>
          <w:i w:val="0"/>
          <w:sz w:val="20"/>
        </w:rPr>
        <w:t>The paragraph beginning “The gate makes the recall–specificity trade less costly rather than removing it.” currently describes two different figures: the recall/specificity comparison (Figure 4) and the τ-sweep (Figure 5). Split it in two and give each half its figure pointer. Cut point: right after “…without giving up Specificity.” Then:</w:t>
      </w:r>
    </w:p>
    <w:p>
      <w:pPr>
        <w:pStyle w:val="ListBullet"/>
      </w:pPr>
      <w:r>
        <w:t>First half ends with the Figure 4 pointer. After “…recovering the suppressed visual evidence without giving up Specificity.” add: “Figure 4 compares Recall and Specificity for the four bias-affected models under all five decoding regimes.” Place the Figure 4 image + caption directly after this half.</w:t>
      </w:r>
    </w:p>
    <w:p>
      <w:pPr>
        <w:pStyle w:val="ListBullet"/>
      </w:pPr>
      <w:r>
        <w:t>Second half becomes the Figure 5 paragraph. Its first sentence changes from “Figure 4 sweeps τ over [0.550, 0.750] for the four bias-affected architectures.” to “Figure 5 sweeps τ over [0.550, 0.750] on the tuning half for the same four architectures.” The rest of the sentence (“Each curve rises above both reference lines, hits a peak (τ* = 0.70, 0.62, 0.68, and 0.65 for Qwen2-VL-2B, Phi-3-Vision-4.2B, SmolVLM2-2.2B, and Qwen2.5-VL-7B), and then falls back toward baseline once τ moves past the entropy mass of genuine conflicts.”) stays as is - the τ* values already match the figures. Place the Figure 5 image + caption (moved from Section 5.3) after this half.</w:t>
      </w:r>
    </w:p>
    <w:p>
      <w:pPr>
        <w:pStyle w:val="Heading2"/>
      </w:pPr>
      <w:r>
        <w:rPr>
          <w:b w:val="0"/>
          <w:i w:val="0"/>
        </w:rPr>
        <w:t>5.2  Find-and-replace fixes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tblHeader w:val="true"/>
        </w:trPr>
        <w:tc>
          <w:tcPr>
            <w:tcW w:type="dxa" w:w="1531"/>
            <w:shd w:val="clear" w:fill="EAF1FA"/>
          </w:tcPr>
          <w:p>
            <w:pPr>
              <w:spacing w:after="40" w:line="264" w:lineRule="auto"/>
            </w:pPr>
            <w:r/>
            <w:r>
              <w:rPr>
                <w:b/>
                <w:color w:val="1F2A33"/>
                <w:sz w:val="17"/>
              </w:rPr>
              <w:t>Where</w:t>
            </w:r>
          </w:p>
        </w:tc>
        <w:tc>
          <w:tcPr>
            <w:tcW w:type="dxa" w:w="1417"/>
            <w:shd w:val="clear" w:fill="EAF1FA"/>
          </w:tcPr>
          <w:p>
            <w:pPr>
              <w:spacing w:after="40" w:line="264" w:lineRule="auto"/>
            </w:pPr>
            <w:r/>
            <w:r>
              <w:rPr>
                <w:b/>
                <w:color w:val="1F2A33"/>
                <w:sz w:val="17"/>
              </w:rPr>
              <w:t>Status</w:t>
            </w:r>
          </w:p>
        </w:tc>
        <w:tc>
          <w:tcPr>
            <w:tcW w:type="dxa" w:w="3061"/>
            <w:shd w:val="clear" w:fill="EAF1FA"/>
          </w:tcPr>
          <w:p>
            <w:pPr>
              <w:spacing w:after="40" w:line="264" w:lineRule="auto"/>
            </w:pPr>
            <w:r/>
            <w:r>
              <w:rPr>
                <w:b/>
                <w:color w:val="1F2A33"/>
                <w:sz w:val="17"/>
              </w:rPr>
              <w:t>Find</w:t>
            </w:r>
          </w:p>
        </w:tc>
        <w:tc>
          <w:tcPr>
            <w:tcW w:type="dxa" w:w="3402"/>
            <w:shd w:val="clear" w:fill="EAF1FA"/>
          </w:tcPr>
          <w:p>
            <w:pPr>
              <w:spacing w:after="40" w:line="264" w:lineRule="auto"/>
            </w:pPr>
            <w:r/>
            <w:r>
              <w:rPr>
                <w:b/>
                <w:color w:val="1F2A33"/>
                <w:sz w:val="17"/>
              </w:rPr>
              <w:t>Replace with / action</w:t>
            </w:r>
          </w:p>
        </w:tc>
      </w:tr>
      <w:tr>
        <w:tc>
          <w:tcPr>
            <w:tcW w:type="dxa" w:w="1531"/>
          </w:tcPr>
          <w:p>
            <w:pPr>
              <w:spacing w:after="40" w:line="269" w:lineRule="auto"/>
            </w:pPr>
            <w:r/>
            <w:r>
              <w:rPr>
                <w:sz w:val="17"/>
              </w:rPr>
              <w:t>5.3, preservation sentence</w:t>
            </w:r>
          </w:p>
        </w:tc>
        <w:tc>
          <w:tcPr>
            <w:tcW w:type="dxa" w:w="1417"/>
          </w:tcPr>
          <w:p>
            <w:pPr>
              <w:spacing w:after="40" w:line="269" w:lineRule="auto"/>
            </w:pPr>
            <w:r/>
            <w:r>
              <w:rPr>
                <w:b/>
                <w:color w:val="B3261E"/>
                <w:sz w:val="17"/>
              </w:rPr>
              <w:t>MISSING EDIT (E7)</w:t>
            </w:r>
          </w:p>
        </w:tc>
        <w:tc>
          <w:tcPr>
            <w:tcW w:type="dxa" w:w="3061"/>
          </w:tcPr>
          <w:p>
            <w:pPr>
              <w:spacing w:after="40" w:line="269" w:lineRule="auto"/>
            </w:pPr>
            <w:r/>
            <w:r>
              <w:rPr>
                <w:sz w:val="17"/>
              </w:rPr>
              <w:t>“As a result, EGCD preserves 76.17% on LLaVA-1.5-7B and 86.06% on LLaVA-v1.6-Mistral-7B, identical to greedy decoding.”</w:t>
            </w:r>
          </w:p>
        </w:tc>
        <w:tc>
          <w:tcPr>
            <w:tcW w:type="dxa" w:w="3402"/>
          </w:tcPr>
          <w:p>
            <w:pPr>
              <w:spacing w:after="40" w:line="269" w:lineRule="auto"/>
            </w:pPr>
            <w:r/>
            <w:r>
              <w:rPr>
                <w:sz w:val="17"/>
              </w:rPr>
              <w:t>“As a result, EGCD preserves 76.78% on LLaVA-1.5-7B, identical to greedy decoding; the Mistral row in Table 1 keeps its earlier full-set numbers until its re-run.” (76.78 is the held-out LLaVA-1.5 baseline in the new Table 1; 76.17 survives nowhere.)</w:t>
            </w:r>
          </w:p>
        </w:tc>
      </w:tr>
      <w:tr>
        <w:tc>
          <w:tcPr>
            <w:tcW w:type="dxa" w:w="1531"/>
          </w:tcPr>
          <w:p>
            <w:pPr>
              <w:spacing w:after="40" w:line="269" w:lineRule="auto"/>
            </w:pPr>
            <w:r/>
            <w:r>
              <w:rPr>
                <w:sz w:val="17"/>
              </w:rPr>
              <w:t>6.1, second paragraph</w:t>
            </w:r>
          </w:p>
        </w:tc>
        <w:tc>
          <w:tcPr>
            <w:tcW w:type="dxa" w:w="1417"/>
          </w:tcPr>
          <w:p>
            <w:pPr>
              <w:spacing w:after="40" w:line="269" w:lineRule="auto"/>
            </w:pPr>
            <w:r/>
            <w:r>
              <w:rPr>
                <w:b/>
                <w:color w:val="B3261E"/>
                <w:sz w:val="17"/>
              </w:rPr>
              <w:t>STALE NUMBER</w:t>
            </w:r>
          </w:p>
        </w:tc>
        <w:tc>
          <w:tcPr>
            <w:tcW w:type="dxa" w:w="3061"/>
          </w:tcPr>
          <w:p>
            <w:pPr>
              <w:spacing w:after="40" w:line="269" w:lineRule="auto"/>
            </w:pPr>
            <w:r/>
            <w:r>
              <w:rPr>
                <w:sz w:val="17"/>
              </w:rPr>
              <w:t>“while EGCD handed back its 76.17% baseline unchanged”</w:t>
            </w:r>
          </w:p>
        </w:tc>
        <w:tc>
          <w:tcPr>
            <w:tcW w:type="dxa" w:w="3402"/>
          </w:tcPr>
          <w:p>
            <w:pPr>
              <w:spacing w:after="40" w:line="269" w:lineRule="auto"/>
            </w:pPr>
            <w:r/>
            <w:r>
              <w:rPr>
                <w:sz w:val="17"/>
              </w:rPr>
              <w:t>“while EGCD handed back its 76.78% baseline unchanged”</w:t>
            </w:r>
          </w:p>
        </w:tc>
      </w:tr>
      <w:tr>
        <w:tc>
          <w:tcPr>
            <w:tcW w:type="dxa" w:w="1531"/>
          </w:tcPr>
          <w:p>
            <w:pPr>
              <w:spacing w:after="40" w:line="269" w:lineRule="auto"/>
            </w:pPr>
            <w:r/>
            <w:r>
              <w:rPr>
                <w:sz w:val="17"/>
              </w:rPr>
              <w:t>Abstract</w:t>
            </w:r>
          </w:p>
        </w:tc>
        <w:tc>
          <w:tcPr>
            <w:tcW w:type="dxa" w:w="1417"/>
          </w:tcPr>
          <w:p>
            <w:pPr>
              <w:spacing w:after="40" w:line="269" w:lineRule="auto"/>
            </w:pPr>
            <w:r/>
            <w:r>
              <w:rPr>
                <w:b/>
                <w:color w:val="9A6A00"/>
                <w:sz w:val="17"/>
              </w:rPr>
              <w:t>MISSED SWAP (held-out clause)</w:t>
            </w:r>
          </w:p>
        </w:tc>
        <w:tc>
          <w:tcPr>
            <w:tcW w:type="dxa" w:w="3061"/>
          </w:tcPr>
          <w:p>
            <w:pPr>
              <w:spacing w:after="40" w:line="269" w:lineRule="auto"/>
            </w:pPr>
            <w:r/>
            <w:r>
              <w:rPr>
                <w:sz w:val="17"/>
              </w:rPr>
              <w:t>“On 1,664 binary relation questions from AMBER, across seven open-weight models, EGCD raises the biased architectures over their greedy baselines:”</w:t>
            </w:r>
          </w:p>
        </w:tc>
        <w:tc>
          <w:tcPr>
            <w:tcW w:type="dxa" w:w="3402"/>
          </w:tcPr>
          <w:p>
            <w:pPr>
              <w:spacing w:after="40" w:line="269" w:lineRule="auto"/>
            </w:pPr>
            <w:r/>
            <w:r>
              <w:rPr>
                <w:sz w:val="17"/>
              </w:rPr>
              <w:t>“On 1,664 binary relation questions from AMBER, with the threshold picked on a tuning split and every result reported on the held-out half, we evaluate seven open-weight models. EGCD raises the biased architectures over their greedy baselines:”</w:t>
            </w:r>
          </w:p>
        </w:tc>
      </w:tr>
      <w:tr>
        <w:tc>
          <w:tcPr>
            <w:tcW w:type="dxa" w:w="1531"/>
          </w:tcPr>
          <w:p>
            <w:pPr>
              <w:spacing w:after="40" w:line="269" w:lineRule="auto"/>
            </w:pPr>
            <w:r/>
            <w:r>
              <w:rPr>
                <w:sz w:val="17"/>
              </w:rPr>
              <w:t>5.3, first sentence</w:t>
            </w:r>
          </w:p>
        </w:tc>
        <w:tc>
          <w:tcPr>
            <w:tcW w:type="dxa" w:w="1417"/>
          </w:tcPr>
          <w:p>
            <w:pPr>
              <w:spacing w:after="40" w:line="269" w:lineRule="auto"/>
            </w:pPr>
            <w:r/>
            <w:r>
              <w:rPr>
                <w:b/>
                <w:color w:val="9A6A00"/>
                <w:sz w:val="17"/>
              </w:rPr>
              <w:t>RECOMMENDED - consistency with Table 1</w:t>
            </w:r>
          </w:p>
        </w:tc>
        <w:tc>
          <w:tcPr>
            <w:tcW w:type="dxa" w:w="3061"/>
          </w:tcPr>
          <w:p>
            <w:pPr>
              <w:spacing w:after="40" w:line="269" w:lineRule="auto"/>
            </w:pPr>
            <w:r/>
            <w:r>
              <w:rPr>
                <w:sz w:val="17"/>
              </w:rPr>
              <w:t>“LLaVA-1.5-7B and LLaVA-v1.6-Mistral-7B start with recalls of 74.26% and 78.36%”</w:t>
            </w:r>
          </w:p>
        </w:tc>
        <w:tc>
          <w:tcPr>
            <w:tcW w:type="dxa" w:w="3402"/>
          </w:tcPr>
          <w:p>
            <w:pPr>
              <w:spacing w:after="40" w:line="269" w:lineRule="auto"/>
            </w:pPr>
            <w:r/>
            <w:r>
              <w:rPr>
                <w:sz w:val="17"/>
              </w:rPr>
              <w:t>“LLaVA-1.5-7B and LLaVA-v1.6-Mistral-7B start with recalls of 75.00% and 78.36%” - the earlier change list said keep both, but its reason (no per-item data until Mistral's re-run) only covers Mistral. LLaVA-1.5 has held-out data and the new Table 1 says 75.00, so update 74.26 and keep 78.36 (it stays dagger-provisional).</w:t>
            </w:r>
          </w:p>
        </w:tc>
      </w:tr>
      <w:tr>
        <w:tc>
          <w:tcPr>
            <w:tcW w:type="dxa" w:w="1531"/>
          </w:tcPr>
          <w:p>
            <w:pPr>
              <w:spacing w:after="40" w:line="269" w:lineRule="auto"/>
            </w:pPr>
            <w:r/>
            <w:r>
              <w:rPr>
                <w:sz w:val="17"/>
              </w:rPr>
              <w:t>3.2, first paragraph</w:t>
            </w:r>
          </w:p>
        </w:tc>
        <w:tc>
          <w:tcPr>
            <w:tcW w:type="dxa" w:w="1417"/>
          </w:tcPr>
          <w:p>
            <w:pPr>
              <w:spacing w:after="40" w:line="269" w:lineRule="auto"/>
            </w:pPr>
            <w:r/>
            <w:r>
              <w:rPr>
                <w:b/>
                <w:color w:val="B3261E"/>
                <w:sz w:val="17"/>
              </w:rPr>
              <w:t>BROKEN SYMBOL</w:t>
            </w:r>
          </w:p>
        </w:tc>
        <w:tc>
          <w:tcPr>
            <w:tcW w:type="dxa" w:w="3061"/>
          </w:tcPr>
          <w:p>
            <w:pPr>
              <w:spacing w:after="40" w:line="269" w:lineRule="auto"/>
            </w:pPr>
            <w:r/>
            <w:r>
              <w:rPr>
                <w:sz w:val="17"/>
              </w:rPr>
              <w:t>“…which returns YCD.” (literal, no subscript)</w:t>
            </w:r>
          </w:p>
        </w:tc>
        <w:tc>
          <w:tcPr>
            <w:tcW w:type="dxa" w:w="3402"/>
          </w:tcPr>
          <w:p>
            <w:pPr>
              <w:spacing w:after="40" w:line="269" w:lineRule="auto"/>
            </w:pPr>
            <w:r/>
            <w:r>
              <w:rPr>
                <w:sz w:val="17"/>
              </w:rPr>
              <w:t>“…which returns Y with subscript CD” - i.e. Y_CD formatted like the Y_CD in Algorithm 1 and in “Y_CD is decoded greedily” a few lines later. The same fix applies to the second occurrence: “…and YCD is decoded greedily.”</w:t>
            </w:r>
          </w:p>
        </w:tc>
      </w:tr>
      <w:tr>
        <w:tc>
          <w:tcPr>
            <w:tcW w:type="dxa" w:w="1531"/>
          </w:tcPr>
          <w:p>
            <w:pPr>
              <w:spacing w:after="40" w:line="269" w:lineRule="auto"/>
            </w:pPr>
            <w:r/>
            <w:r>
              <w:rPr>
                <w:sz w:val="17"/>
              </w:rPr>
              <w:t>5.4, gate-routing paragraph</w:t>
            </w:r>
          </w:p>
        </w:tc>
        <w:tc>
          <w:tcPr>
            <w:tcW w:type="dxa" w:w="1417"/>
          </w:tcPr>
          <w:p>
            <w:pPr>
              <w:spacing w:after="40" w:line="269" w:lineRule="auto"/>
            </w:pPr>
            <w:r/>
            <w:r>
              <w:rPr>
                <w:b/>
                <w:color w:val="9A6A00"/>
                <w:sz w:val="17"/>
              </w:rPr>
              <w:t>OPTIONAL completeness</w:t>
            </w:r>
          </w:p>
        </w:tc>
        <w:tc>
          <w:tcPr>
            <w:tcW w:type="dxa" w:w="3061"/>
          </w:tcPr>
          <w:p>
            <w:pPr>
              <w:spacing w:after="40" w:line="269" w:lineRule="auto"/>
            </w:pPr>
            <w:r/>
            <w:r>
              <w:rPr>
                <w:sz w:val="17"/>
              </w:rPr>
              <w:t>“…2.2% on Idefics2-8B and none on LLaVA-1.5-7B.”</w:t>
            </w:r>
          </w:p>
        </w:tc>
        <w:tc>
          <w:tcPr>
            <w:tcW w:type="dxa" w:w="3402"/>
          </w:tcPr>
          <w:p>
            <w:pPr>
              <w:spacing w:after="40" w:line="269" w:lineRule="auto"/>
            </w:pPr>
            <w:r/>
            <w:r>
              <w:rPr>
                <w:sz w:val="17"/>
              </w:rPr>
              <w:t>“…2.2% on Idefics2-8B and none on LLaVA-1.5-7B; the Mistral rate is not computed, since its run predates the split.” - otherwise a reviewer counts six names in a seven-model paper.</w:t>
            </w:r>
          </w:p>
        </w:tc>
      </w:tr>
    </w:tbl>
    <w:p>
      <w:pPr>
        <w:pStyle w:val="Heading1"/>
      </w:pPr>
      <w:r>
        <w:rPr>
          <w:b w:val="0"/>
          <w:i w:val="0"/>
        </w:rPr>
        <w:t>6. Appendix A rewrite (intro paragraph + table)</w:t>
      </w:r>
    </w:p>
    <w:p>
      <w:r>
        <w:rPr>
          <w:b w:val="0"/>
          <w:i w:val="0"/>
          <w:sz w:val="20"/>
        </w:rPr>
        <w:t>Two things are wrong in the appendix: (a) the intro still says “for all seven evaluated models” and lists SmolVLM2's retired threshold 0.670 - the applied caption swap did not touch the intro; (b) the table body is still the old seven-model full-set grid, which now sits under a caption claiming “tuning half”. Replace the whole intro paragraph with the block below (it also adds the missing Figure A1 / A2a / A2b pointers), and replace the table with the 21 × 6 grid from table.docx on GitHub (values regenerated from appendixA_tuning_sweep_6models.csv; each model's peak cell is bolded and tinted; a footnote explains the absent Mistral column). The table caption below the new table stays exactly as you already applied it.</w:t>
      </w:r>
    </w:p>
    <w:tbl>
      <w:tblPr>
        <w:tblStyle w:val="TableGrid"/>
        <w:tblW w:type="auto" w:w="0"/>
        <w:tblLook w:firstColumn="1" w:firstRow="1" w:lastColumn="0" w:lastRow="0" w:noHBand="0" w:noVBand="1" w:val="04A0"/>
        <w:tblCellMar>
          <w:top w:w="40" w:type="dxa"/>
          <w:left w:w="140" w:type="dxa"/>
          <w:bottom w:w="40" w:type="dxa"/>
          <w:right w:w="140" w:type="dxa"/>
        </w:tblCellMar>
      </w:tblPr>
      <w:tblGrid>
        <w:gridCol w:w="9412"/>
      </w:tblGrid>
      <w:tr>
        <w:tc>
          <w:tcPr>
            <w:tcW w:type="dxa" w:w="9411"/>
            <w:shd w:val="clear" w:fill="F4F6F8"/>
          </w:tcPr>
          <w:p>
            <w:pPr>
              <w:spacing w:line="300" w:lineRule="auto"/>
            </w:pPr>
            <w:r/>
            <w:r>
              <w:rPr>
                <w:sz w:val="20"/>
              </w:rPr>
              <w:t>This appendix reports the balanced accuracy of the entropy-threshold sweep on the tuning half. It is the selection record: each model's peak here is the operating point τ* that Section 5 evaluates on the held-out half. Six of the seven models are listed; LLaVA-v1.6-Mistral-7B is absent because its sweep is the earlier full-set run, which Table 1 and Figure 6 carry (daggered) until its re-run. The selected thresholds are 0.700 (Qwen2-VL-2B), 0.620 (Phi-3-Vision-4.2B), 0.680 (SmolVLM2-2.2B), 0.650 (Qwen2.5-VL-7B), 0.690 (Idefics2-8B), and 0.700 (LLaVA-1.5-7B); Recall and Specificity at each operating point appear in Table 1. Figure A1 renders the held-out results of Table 1 as three heatmaps, Figure A2a visualizes the sweep grid below, and Figure A2b summarizes the gain each selected threshold buys.</w:t>
            </w:r>
          </w:p>
        </w:tc>
      </w:tr>
    </w:tbl>
    <w:p>
      <w:pPr>
        <w:spacing w:after="40"/>
      </w:pPr>
    </w:p>
    <w:p>
      <w:pPr>
        <w:pStyle w:val="Heading1"/>
      </w:pPr>
      <w:r>
        <w:rPr>
          <w:b w:val="0"/>
          <w:i w:val="0"/>
        </w:rPr>
        <w:t>7. Captions - one-liners to paste</w:t>
      </w:r>
    </w:p>
    <w:p>
      <w:r>
        <w:rPr>
          <w:b w:val="0"/>
          <w:i w:val="0"/>
          <w:sz w:val="20"/>
        </w:rPr>
        <w:t>All caption texts below are in captions.docx on GitHub (commit 021c6b1); they are reproduced here so this file is self-contained. Paste the text only - the bold labels are navigation. Every caption is a single sentence; the Mistral basis caveat lives in the captions of the assets that mix protocols (2, 3, 6, 7, A2a, A2b), which is enough - the running text does not need to repeat it.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tblHeader w:val="true"/>
        </w:trPr>
        <w:tc>
          <w:tcPr>
            <w:tcW w:type="dxa" w:w="2041"/>
            <w:shd w:val="clear" w:fill="EAF1FA"/>
          </w:tcPr>
          <w:p>
            <w:pPr>
              <w:spacing w:after="40" w:line="264" w:lineRule="auto"/>
            </w:pPr>
            <w:r/>
            <w:r>
              <w:rPr>
                <w:b/>
                <w:color w:val="1F2A33"/>
                <w:sz w:val="17"/>
              </w:rPr>
              <w:t>Slot</w:t>
            </w:r>
          </w:p>
        </w:tc>
        <w:tc>
          <w:tcPr>
            <w:tcW w:type="dxa" w:w="5216"/>
            <w:shd w:val="clear" w:fill="EAF1FA"/>
          </w:tcPr>
          <w:p>
            <w:pPr>
              <w:spacing w:after="40" w:line="264" w:lineRule="auto"/>
            </w:pPr>
            <w:r/>
            <w:r>
              <w:rPr>
                <w:b/>
                <w:color w:val="1F2A33"/>
                <w:sz w:val="17"/>
              </w:rPr>
              <w:t>Caption text (paste this)</w:t>
            </w:r>
          </w:p>
        </w:tc>
        <w:tc>
          <w:tcPr>
            <w:tcW w:type="dxa" w:w="2154"/>
            <w:shd w:val="clear" w:fill="EAF1FA"/>
          </w:tcPr>
          <w:p>
            <w:pPr>
              <w:spacing w:after="40" w:line="264" w:lineRule="auto"/>
            </w:pPr>
            <w:r/>
            <w:r>
              <w:rPr>
                <w:b/>
                <w:color w:val="1F2A33"/>
                <w:sz w:val="17"/>
              </w:rPr>
              <w:t>Note</w:t>
            </w:r>
          </w:p>
        </w:tc>
      </w:tr>
      <w:tr>
        <w:tc>
          <w:tcPr>
            <w:tcW w:type="dxa" w:w="2041"/>
          </w:tcPr>
          <w:p>
            <w:pPr>
              <w:spacing w:after="40" w:line="269" w:lineRule="auto"/>
            </w:pPr>
            <w:r/>
            <w:r>
              <w:rPr>
                <w:sz w:val="17"/>
              </w:rPr>
              <w:t>C1 - Figure 1 (optional restyle)</w:t>
            </w:r>
          </w:p>
        </w:tc>
        <w:tc>
          <w:tcPr>
            <w:tcW w:type="dxa" w:w="5216"/>
          </w:tcPr>
          <w:p>
            <w:pPr>
              <w:spacing w:after="40" w:line="269" w:lineRule="auto"/>
            </w:pPr>
            <w:r/>
            <w:r>
              <w:rPr>
                <w:sz w:val="17"/>
              </w:rPr>
              <w:t>Overview of EGCD: the first-token entropy H(Y₁) routes each relational query either to System 1 (greedy decoding) or to System 2 (counterfactual contrastive decoding with APC; α = 1.0, β = 0.1).</w:t>
            </w:r>
          </w:p>
        </w:tc>
        <w:tc>
          <w:tcPr>
            <w:tcW w:type="dxa" w:w="2154"/>
          </w:tcPr>
          <w:p>
            <w:pPr>
              <w:spacing w:after="40" w:line="269" w:lineRule="auto"/>
            </w:pPr>
            <w:r/>
            <w:r>
              <w:rPr>
                <w:sz w:val="17"/>
              </w:rPr>
              <w:t>Figure 1 already has a two-sentence caption; replacing it with this one-liner makes the caption style uniform. Optional.</w:t>
            </w:r>
          </w:p>
        </w:tc>
      </w:tr>
      <w:tr>
        <w:tc>
          <w:tcPr>
            <w:tcW w:type="dxa" w:w="2041"/>
          </w:tcPr>
          <w:p>
            <w:pPr>
              <w:spacing w:after="40" w:line="269" w:lineRule="auto"/>
            </w:pPr>
            <w:r/>
            <w:r>
              <w:rPr>
                <w:sz w:val="17"/>
              </w:rPr>
              <w:t>C2 - Figure 2 (replaces Caption_1)</w:t>
            </w:r>
          </w:p>
        </w:tc>
        <w:tc>
          <w:tcPr>
            <w:tcW w:type="dxa" w:w="5216"/>
          </w:tcPr>
          <w:p>
            <w:pPr>
              <w:spacing w:after="40" w:line="269" w:lineRule="auto"/>
            </w:pPr>
            <w:r/>
            <w:r>
              <w:rPr>
                <w:sz w:val="17"/>
              </w:rPr>
              <w:t>Balanced accuracy on the held-out half for the seven models under greedy decoding, Universal CD+APC, VCD, SID, and EGCD, ordered by EGCD's gain over greedy decoding.</w:t>
            </w:r>
          </w:p>
        </w:tc>
        <w:tc>
          <w:tcPr>
            <w:tcW w:type="dxa" w:w="2154"/>
          </w:tcPr>
          <w:p>
            <w:pPr>
              <w:spacing w:after="40" w:line="269" w:lineRule="auto"/>
            </w:pPr>
            <w:r/>
            <w:r>
              <w:rPr>
                <w:sz w:val="17"/>
              </w:rPr>
              <w:t>Also change the placeholder's style from Heading 2 to body/caption.</w:t>
            </w:r>
          </w:p>
        </w:tc>
      </w:tr>
      <w:tr>
        <w:tc>
          <w:tcPr>
            <w:tcW w:type="dxa" w:w="2041"/>
          </w:tcPr>
          <w:p>
            <w:pPr>
              <w:spacing w:after="40" w:line="269" w:lineRule="auto"/>
            </w:pPr>
            <w:r/>
            <w:r>
              <w:rPr>
                <w:sz w:val="17"/>
              </w:rPr>
              <w:t>C3 - Figure 3 (replaces Caption_2)</w:t>
            </w:r>
          </w:p>
        </w:tc>
        <w:tc>
          <w:tcPr>
            <w:tcW w:type="dxa" w:w="5216"/>
          </w:tcPr>
          <w:p>
            <w:pPr>
              <w:spacing w:after="40" w:line="269" w:lineRule="auto"/>
            </w:pPr>
            <w:r/>
            <w:r>
              <w:rPr>
                <w:sz w:val="17"/>
              </w:rPr>
              <w:t>Change in balanced accuracy relative to greedy decoding, per model and method: Universal CD+APC buys its gains with a 10–14 point collapse on the sound models, while EGCD keeps the gains without the collapse.</w:t>
            </w:r>
          </w:p>
        </w:tc>
        <w:tc>
          <w:tcPr>
            <w:tcW w:type="dxa" w:w="2154"/>
          </w:tcPr>
          <w:p>
            <w:pPr>
              <w:spacing w:after="40" w:line="269" w:lineRule="auto"/>
            </w:pPr>
            <w:r/>
            <w:r>
              <w:rPr>
                <w:sz w:val="17"/>
              </w:rPr>
            </w:r>
          </w:p>
        </w:tc>
      </w:tr>
      <w:tr>
        <w:tc>
          <w:tcPr>
            <w:tcW w:type="dxa" w:w="2041"/>
          </w:tcPr>
          <w:p>
            <w:pPr>
              <w:spacing w:after="40" w:line="269" w:lineRule="auto"/>
            </w:pPr>
            <w:r/>
            <w:r>
              <w:rPr>
                <w:sz w:val="17"/>
              </w:rPr>
              <w:t>C4 - Figure 4 (replaces Caption_3)</w:t>
            </w:r>
          </w:p>
        </w:tc>
        <w:tc>
          <w:tcPr>
            <w:tcW w:type="dxa" w:w="5216"/>
          </w:tcPr>
          <w:p>
            <w:pPr>
              <w:spacing w:after="40" w:line="269" w:lineRule="auto"/>
            </w:pPr>
            <w:r/>
            <w:r>
              <w:rPr>
                <w:sz w:val="17"/>
              </w:rPr>
              <w:t>Recall and Specificity on the held-out half for the four bias-affected models, where Universal CD+APC buys its recall by spending specificity and EGCD recovers most of the recall at a fraction of the specificity cost.</w:t>
            </w:r>
          </w:p>
        </w:tc>
        <w:tc>
          <w:tcPr>
            <w:tcW w:type="dxa" w:w="2154"/>
          </w:tcPr>
          <w:p>
            <w:pPr>
              <w:spacing w:after="40" w:line="269" w:lineRule="auto"/>
            </w:pPr>
            <w:r/>
            <w:r>
              <w:rPr>
                <w:sz w:val="17"/>
              </w:rPr>
            </w:r>
          </w:p>
        </w:tc>
      </w:tr>
      <w:tr>
        <w:tc>
          <w:tcPr>
            <w:tcW w:type="dxa" w:w="2041"/>
          </w:tcPr>
          <w:p>
            <w:pPr>
              <w:spacing w:after="40" w:line="269" w:lineRule="auto"/>
            </w:pPr>
            <w:r/>
            <w:r>
              <w:rPr>
                <w:sz w:val="17"/>
              </w:rPr>
              <w:t>C5 - Figure 5 (replaces Caption_4)</w:t>
            </w:r>
          </w:p>
        </w:tc>
        <w:tc>
          <w:tcPr>
            <w:tcW w:type="dxa" w:w="5216"/>
          </w:tcPr>
          <w:p>
            <w:pPr>
              <w:spacing w:after="40" w:line="269" w:lineRule="auto"/>
            </w:pPr>
            <w:r/>
            <w:r>
              <w:rPr>
                <w:sz w:val="17"/>
              </w:rPr>
              <w:t>Balanced accuracy across the entropy-threshold sweep on the tuning half for the four bias-affected models; the star marks each model's selected threshold τ*.</w:t>
            </w:r>
          </w:p>
        </w:tc>
        <w:tc>
          <w:tcPr>
            <w:tcW w:type="dxa" w:w="2154"/>
          </w:tcPr>
          <w:p>
            <w:pPr>
              <w:spacing w:after="40" w:line="269" w:lineRule="auto"/>
            </w:pPr>
            <w:r/>
            <w:r>
              <w:rPr>
                <w:sz w:val="17"/>
              </w:rPr>
              <w:t>Caption_4 travels with the Figure 5 image to Section 5.2 (Section 3).</w:t>
            </w:r>
          </w:p>
        </w:tc>
      </w:tr>
      <w:tr>
        <w:tc>
          <w:tcPr>
            <w:tcW w:type="dxa" w:w="2041"/>
          </w:tcPr>
          <w:p>
            <w:pPr>
              <w:spacing w:after="40" w:line="269" w:lineRule="auto"/>
            </w:pPr>
            <w:r/>
            <w:r>
              <w:rPr>
                <w:sz w:val="17"/>
              </w:rPr>
              <w:t>C6 - Figure 6 (replaces Caption_5)</w:t>
            </w:r>
          </w:p>
        </w:tc>
        <w:tc>
          <w:tcPr>
            <w:tcW w:type="dxa" w:w="5216"/>
          </w:tcPr>
          <w:p>
            <w:pPr>
              <w:spacing w:after="40" w:line="269" w:lineRule="auto"/>
            </w:pPr>
            <w:r/>
            <w:r>
              <w:rPr>
                <w:sz w:val="17"/>
              </w:rPr>
              <w:t>The same sweep for the three structurally sound models, where EGCD tracks the greedy baseline everywhere while Universal CD+APC falls up to 14 points below it.</w:t>
            </w:r>
          </w:p>
        </w:tc>
        <w:tc>
          <w:tcPr>
            <w:tcW w:type="dxa" w:w="2154"/>
          </w:tcPr>
          <w:p>
            <w:pPr>
              <w:spacing w:after="40" w:line="269" w:lineRule="auto"/>
            </w:pPr>
            <w:r/>
            <w:r>
              <w:rPr>
                <w:sz w:val="17"/>
              </w:rPr>
              <w:t>Also change the placeholder's style from Heading 2 to body/caption.</w:t>
            </w:r>
          </w:p>
        </w:tc>
      </w:tr>
      <w:tr>
        <w:tc>
          <w:tcPr>
            <w:tcW w:type="dxa" w:w="2041"/>
          </w:tcPr>
          <w:p>
            <w:pPr>
              <w:spacing w:after="40" w:line="269" w:lineRule="auto"/>
            </w:pPr>
            <w:r/>
            <w:r>
              <w:rPr>
                <w:sz w:val="17"/>
              </w:rPr>
              <w:t>C7 - Figure 7 (replaces Caption_6)</w:t>
            </w:r>
          </w:p>
        </w:tc>
        <w:tc>
          <w:tcPr>
            <w:tcW w:type="dxa" w:w="5216"/>
          </w:tcPr>
          <w:p>
            <w:pPr>
              <w:spacing w:after="40" w:line="269" w:lineRule="auto"/>
            </w:pPr>
            <w:r/>
            <w:r>
              <w:rPr>
                <w:sz w:val="17"/>
              </w:rPr>
              <w:t>Gain over greedy decoding across the entropy-threshold sweep for all seven models: every curve returns to zero as τ grows, and on the sound models a loose threshold costs up to 14 points.</w:t>
            </w:r>
          </w:p>
        </w:tc>
        <w:tc>
          <w:tcPr>
            <w:tcW w:type="dxa" w:w="2154"/>
          </w:tcPr>
          <w:p>
            <w:pPr>
              <w:spacing w:after="40" w:line="269" w:lineRule="auto"/>
            </w:pPr>
            <w:r/>
            <w:r>
              <w:rPr>
                <w:sz w:val="17"/>
              </w:rPr>
            </w:r>
          </w:p>
        </w:tc>
      </w:tr>
      <w:tr>
        <w:tc>
          <w:tcPr>
            <w:tcW w:type="dxa" w:w="2041"/>
          </w:tcPr>
          <w:p>
            <w:pPr>
              <w:spacing w:after="40" w:line="269" w:lineRule="auto"/>
            </w:pPr>
            <w:r/>
            <w:r>
              <w:rPr>
                <w:sz w:val="17"/>
              </w:rPr>
              <w:t>C8 - Appendix Fig. A1 (replaces Caption_7)</w:t>
            </w:r>
          </w:p>
        </w:tc>
        <w:tc>
          <w:tcPr>
            <w:tcW w:type="dxa" w:w="5216"/>
          </w:tcPr>
          <w:p>
            <w:pPr>
              <w:spacing w:after="40" w:line="269" w:lineRule="auto"/>
            </w:pPr>
            <w:r/>
            <w:r>
              <w:rPr>
                <w:sz w:val="17"/>
              </w:rPr>
              <w:t>The held-out results of Table 1 rendered as three heatmaps - Recall, Specificity, and balanced accuracy - with the EGCD column outlined.</w:t>
            </w:r>
          </w:p>
        </w:tc>
        <w:tc>
          <w:tcPr>
            <w:tcW w:type="dxa" w:w="2154"/>
          </w:tcPr>
          <w:p>
            <w:pPr>
              <w:spacing w:after="40" w:line="269" w:lineRule="auto"/>
            </w:pPr>
            <w:r/>
            <w:r>
              <w:rPr>
                <w:sz w:val="17"/>
              </w:rPr>
            </w:r>
          </w:p>
        </w:tc>
      </w:tr>
      <w:tr>
        <w:tc>
          <w:tcPr>
            <w:tcW w:type="dxa" w:w="2041"/>
          </w:tcPr>
          <w:p>
            <w:pPr>
              <w:spacing w:after="40" w:line="269" w:lineRule="auto"/>
            </w:pPr>
            <w:r/>
            <w:r>
              <w:rPr>
                <w:sz w:val="17"/>
              </w:rPr>
              <w:t>C9 - Appendix Fig. A2a (NEW slot)</w:t>
            </w:r>
          </w:p>
        </w:tc>
        <w:tc>
          <w:tcPr>
            <w:tcW w:type="dxa" w:w="5216"/>
          </w:tcPr>
          <w:p>
            <w:pPr>
              <w:spacing w:after="40" w:line="269" w:lineRule="auto"/>
            </w:pPr>
            <w:r/>
            <w:r>
              <w:rPr>
                <w:sz w:val="17"/>
              </w:rPr>
              <w:t>The tuning-half sweep grid of Table A1 rendered as a heatmap, with darker cells marking higher balanced accuracy; the dashed end columns are the gate-always-active (CD+APC) and gate-inactive (greedy) limits.</w:t>
            </w:r>
          </w:p>
        </w:tc>
        <w:tc>
          <w:tcPr>
            <w:tcW w:type="dxa" w:w="2154"/>
          </w:tcPr>
          <w:p>
            <w:pPr>
              <w:spacing w:after="40" w:line="269" w:lineRule="auto"/>
            </w:pPr>
            <w:r/>
            <w:r>
              <w:rPr>
                <w:sz w:val="17"/>
              </w:rPr>
              <w:t>Create the placeholder, insert the image, paste this caption.</w:t>
            </w:r>
          </w:p>
        </w:tc>
      </w:tr>
      <w:tr>
        <w:tc>
          <w:tcPr>
            <w:tcW w:type="dxa" w:w="2041"/>
          </w:tcPr>
          <w:p>
            <w:pPr>
              <w:spacing w:after="40" w:line="269" w:lineRule="auto"/>
            </w:pPr>
            <w:r/>
            <w:r>
              <w:rPr>
                <w:sz w:val="17"/>
              </w:rPr>
              <w:t>C10 - Appendix Fig. A2b (replaces Caption_8)</w:t>
            </w:r>
          </w:p>
        </w:tc>
        <w:tc>
          <w:tcPr>
            <w:tcW w:type="dxa" w:w="5216"/>
          </w:tcPr>
          <w:p>
            <w:pPr>
              <w:spacing w:after="40" w:line="269" w:lineRule="auto"/>
            </w:pPr>
            <w:r/>
            <w:r>
              <w:rPr>
                <w:sz w:val="17"/>
              </w:rPr>
              <w:t>Gain over greedy decoding at each model's selected threshold τ* on the tuning half: the gate buys the most exactly where hallucination bias is largest.</w:t>
            </w:r>
          </w:p>
        </w:tc>
        <w:tc>
          <w:tcPr>
            <w:tcW w:type="dxa" w:w="2154"/>
          </w:tcPr>
          <w:p>
            <w:pPr>
              <w:spacing w:after="40" w:line="269" w:lineRule="auto"/>
            </w:pPr>
            <w:r/>
            <w:r>
              <w:rPr>
                <w:sz w:val="17"/>
              </w:rPr>
            </w:r>
          </w:p>
        </w:tc>
      </w:tr>
    </w:tbl>
    <w:p>
      <w:pPr>
        <w:pStyle w:val="Heading1"/>
      </w:pPr>
      <w:r>
        <w:rPr>
          <w:b w:val="0"/>
          <w:i w:val="0"/>
        </w:rPr>
        <w:t>8. Grammar and typos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tblHeader w:val="true"/>
        </w:trPr>
        <w:tc>
          <w:tcPr>
            <w:tcW w:type="dxa" w:w="1644"/>
            <w:shd w:val="clear" w:fill="EAF1FA"/>
          </w:tcPr>
          <w:p>
            <w:pPr>
              <w:spacing w:after="40" w:line="264" w:lineRule="auto"/>
            </w:pPr>
            <w:r/>
            <w:r>
              <w:rPr>
                <w:b/>
                <w:color w:val="1F2A33"/>
                <w:sz w:val="17"/>
              </w:rPr>
              <w:t>Where</w:t>
            </w:r>
          </w:p>
        </w:tc>
        <w:tc>
          <w:tcPr>
            <w:tcW w:type="dxa" w:w="1191"/>
            <w:shd w:val="clear" w:fill="EAF1FA"/>
          </w:tcPr>
          <w:p>
            <w:pPr>
              <w:spacing w:after="40" w:line="264" w:lineRule="auto"/>
            </w:pPr>
            <w:r/>
            <w:r>
              <w:rPr>
                <w:b/>
                <w:color w:val="1F2A33"/>
                <w:sz w:val="17"/>
              </w:rPr>
              <w:t>Type</w:t>
            </w:r>
          </w:p>
        </w:tc>
        <w:tc>
          <w:tcPr>
            <w:tcW w:type="dxa" w:w="3175"/>
            <w:shd w:val="clear" w:fill="EAF1FA"/>
          </w:tcPr>
          <w:p>
            <w:pPr>
              <w:spacing w:after="40" w:line="264" w:lineRule="auto"/>
            </w:pPr>
            <w:r/>
            <w:r>
              <w:rPr>
                <w:b/>
                <w:color w:val="1F2A33"/>
                <w:sz w:val="17"/>
              </w:rPr>
              <w:t>Find</w:t>
            </w:r>
          </w:p>
        </w:tc>
        <w:tc>
          <w:tcPr>
            <w:tcW w:type="dxa" w:w="3402"/>
            <w:shd w:val="clear" w:fill="EAF1FA"/>
          </w:tcPr>
          <w:p>
            <w:pPr>
              <w:spacing w:after="40" w:line="264" w:lineRule="auto"/>
            </w:pPr>
            <w:r/>
            <w:r>
              <w:rPr>
                <w:b/>
                <w:color w:val="1F2A33"/>
                <w:sz w:val="17"/>
              </w:rPr>
              <w:t>Replace with</w:t>
            </w:r>
          </w:p>
        </w:tc>
      </w:tr>
      <w:tr>
        <w:tc>
          <w:tcPr>
            <w:tcW w:type="dxa" w:w="1644"/>
          </w:tcPr>
          <w:p>
            <w:pPr>
              <w:spacing w:after="40" w:line="269" w:lineRule="auto"/>
            </w:pPr>
            <w:r/>
            <w:r>
              <w:rPr>
                <w:sz w:val="17"/>
              </w:rPr>
              <w:t>1. Introduction, second paragraph</w:t>
            </w:r>
          </w:p>
        </w:tc>
        <w:tc>
          <w:tcPr>
            <w:tcW w:type="dxa" w:w="1191"/>
          </w:tcPr>
          <w:p>
            <w:pPr>
              <w:spacing w:after="40" w:line="269" w:lineRule="auto"/>
            </w:pPr>
            <w:r/>
            <w:r>
              <w:rPr>
                <w:b/>
                <w:color w:val="B3261E"/>
                <w:sz w:val="17"/>
              </w:rPr>
              <w:t>BROKEN SENTENCE</w:t>
            </w:r>
          </w:p>
        </w:tc>
        <w:tc>
          <w:tcPr>
            <w:tcW w:type="dxa" w:w="3175"/>
          </w:tcPr>
          <w:p>
            <w:pPr>
              <w:spacing w:after="40" w:line="269" w:lineRule="auto"/>
            </w:pPr>
            <w:r/>
            <w:r>
              <w:rPr>
                <w:sz w:val="17"/>
              </w:rPr>
              <w:t>“…has effectively dropped out of the computation., the model says No to anything that feels uncertain, or defaults to stereotypical object co-occurrences…”</w:t>
            </w:r>
          </w:p>
        </w:tc>
        <w:tc>
          <w:tcPr>
            <w:tcW w:type="dxa" w:w="3402"/>
          </w:tcPr>
          <w:p>
            <w:pPr>
              <w:spacing w:after="40" w:line="269" w:lineRule="auto"/>
            </w:pPr>
            <w:r/>
            <w:r>
              <w:rPr>
                <w:sz w:val="17"/>
              </w:rPr>
              <w:t>“…has effectively dropped out of the computation. The model then says No to anything that feels uncertain, or defaults to stereotypical object co-occurrences…”  (period + new sentence, not “.,”)</w:t>
            </w:r>
          </w:p>
        </w:tc>
      </w:tr>
      <w:tr>
        <w:tc>
          <w:tcPr>
            <w:tcW w:type="dxa" w:w="1644"/>
          </w:tcPr>
          <w:p>
            <w:pPr>
              <w:spacing w:after="40" w:line="269" w:lineRule="auto"/>
            </w:pPr>
            <w:r/>
            <w:r>
              <w:rPr>
                <w:sz w:val="17"/>
              </w:rPr>
              <w:t>1. Introduction, same paragraph</w:t>
            </w:r>
          </w:p>
        </w:tc>
        <w:tc>
          <w:tcPr>
            <w:tcW w:type="dxa" w:w="1191"/>
          </w:tcPr>
          <w:p>
            <w:pPr>
              <w:spacing w:after="40" w:line="269" w:lineRule="auto"/>
            </w:pPr>
            <w:r/>
            <w:r>
              <w:rPr>
                <w:b/>
                <w:color w:val="9A6A00"/>
                <w:sz w:val="17"/>
              </w:rPr>
              <w:t>PARAGRAPH BREAK</w:t>
            </w:r>
          </w:p>
        </w:tc>
        <w:tc>
          <w:tcPr>
            <w:tcW w:type="dxa" w:w="3175"/>
          </w:tcPr>
          <w:p>
            <w:pPr>
              <w:spacing w:after="40" w:line="269" w:lineRule="auto"/>
            </w:pPr>
            <w:r/>
            <w:r>
              <w:rPr>
                <w:sz w:val="17"/>
              </w:rPr>
              <w:t>“…so a fix has to operate inside decoding.” runs into “We adopt the name…” inside one paragraph</w:t>
            </w:r>
          </w:p>
        </w:tc>
        <w:tc>
          <w:tcPr>
            <w:tcW w:type="dxa" w:w="3402"/>
          </w:tcPr>
          <w:p>
            <w:pPr>
              <w:spacing w:after="40" w:line="269" w:lineRule="auto"/>
            </w:pPr>
            <w:r/>
            <w:r>
              <w:rPr>
                <w:sz w:val="17"/>
              </w:rPr>
              <w:t>Insert a real paragraph break before “We adopt the name Gong et al. (2026)” - the paragraph currently carries two jobs (evidence, then naming the mechanism).</w:t>
            </w:r>
          </w:p>
        </w:tc>
      </w:tr>
      <w:tr>
        <w:tc>
          <w:tcPr>
            <w:tcW w:type="dxa" w:w="1644"/>
          </w:tcPr>
          <w:p>
            <w:pPr>
              <w:spacing w:after="40" w:line="269" w:lineRule="auto"/>
            </w:pPr>
            <w:r/>
            <w:r>
              <w:rPr>
                <w:sz w:val="17"/>
              </w:rPr>
              <w:t>1. Introduction, same paragraph</w:t>
            </w:r>
          </w:p>
        </w:tc>
        <w:tc>
          <w:tcPr>
            <w:tcW w:type="dxa" w:w="1191"/>
          </w:tcPr>
          <w:p>
            <w:pPr>
              <w:spacing w:after="40" w:line="269" w:lineRule="auto"/>
            </w:pPr>
            <w:r/>
            <w:r>
              <w:rPr>
                <w:b/>
                <w:color w:val="9A6A00"/>
                <w:sz w:val="17"/>
              </w:rPr>
              <w:t>GRAMMAR</w:t>
            </w:r>
          </w:p>
        </w:tc>
        <w:tc>
          <w:tcPr>
            <w:tcW w:type="dxa" w:w="3175"/>
          </w:tcPr>
          <w:p>
            <w:pPr>
              <w:spacing w:after="40" w:line="269" w:lineRule="auto"/>
            </w:pPr>
            <w:r/>
            <w:r>
              <w:rPr>
                <w:sz w:val="17"/>
              </w:rPr>
              <w:t>“We adopt the name Gong et al. (2026) give this mechanism”</w:t>
            </w:r>
          </w:p>
        </w:tc>
        <w:tc>
          <w:tcPr>
            <w:tcW w:type="dxa" w:w="3402"/>
          </w:tcPr>
          <w:p>
            <w:pPr>
              <w:spacing w:after="40" w:line="269" w:lineRule="auto"/>
            </w:pPr>
            <w:r/>
            <w:r>
              <w:rPr>
                <w:sz w:val="17"/>
              </w:rPr>
              <w:t>“We adopt the name Gong et al. (2026) use for this mechanism”</w:t>
            </w:r>
          </w:p>
        </w:tc>
      </w:tr>
      <w:tr>
        <w:tc>
          <w:tcPr>
            <w:tcW w:type="dxa" w:w="1644"/>
          </w:tcPr>
          <w:p>
            <w:pPr>
              <w:spacing w:after="40" w:line="269" w:lineRule="auto"/>
            </w:pPr>
            <w:r/>
            <w:r>
              <w:rPr>
                <w:sz w:val="17"/>
              </w:rPr>
              <w:t>1. Introduction, third paragraph</w:t>
            </w:r>
          </w:p>
        </w:tc>
        <w:tc>
          <w:tcPr>
            <w:tcW w:type="dxa" w:w="1191"/>
          </w:tcPr>
          <w:p>
            <w:pPr>
              <w:spacing w:after="40" w:line="269" w:lineRule="auto"/>
            </w:pPr>
            <w:r/>
            <w:r>
              <w:rPr>
                <w:b/>
                <w:color w:val="9A6A00"/>
                <w:sz w:val="17"/>
              </w:rPr>
              <w:t>GRAMMAR</w:t>
            </w:r>
          </w:p>
        </w:tc>
        <w:tc>
          <w:tcPr>
            <w:tcW w:type="dxa" w:w="3175"/>
          </w:tcPr>
          <w:p>
            <w:pPr>
              <w:spacing w:after="40" w:line="269" w:lineRule="auto"/>
            </w:pPr>
            <w:r/>
            <w:r>
              <w:rPr>
                <w:sz w:val="17"/>
              </w:rPr>
              <w:t>“The same gate that heals biased architectures stands down on structurally sound ones, which is what any uniform scheme cannot do.”</w:t>
            </w:r>
          </w:p>
        </w:tc>
        <w:tc>
          <w:tcPr>
            <w:tcW w:type="dxa" w:w="3402"/>
          </w:tcPr>
          <w:p>
            <w:pPr>
              <w:spacing w:after="40" w:line="269" w:lineRule="auto"/>
            </w:pPr>
            <w:r/>
            <w:r>
              <w:rPr>
                <w:sz w:val="17"/>
              </w:rPr>
              <w:t>“The same gate that heals biased architectures stays idle on structurally sound ones, which no uniform scheme can do.” (fixes the jargon and the “which is what…cannot” double negative in one go)</w:t>
            </w:r>
          </w:p>
        </w:tc>
      </w:tr>
      <w:tr>
        <w:tc>
          <w:tcPr>
            <w:tcW w:type="dxa" w:w="1644"/>
          </w:tcPr>
          <w:p>
            <w:pPr>
              <w:spacing w:after="40" w:line="269" w:lineRule="auto"/>
            </w:pPr>
            <w:r/>
            <w:r>
              <w:rPr>
                <w:sz w:val="17"/>
              </w:rPr>
              <w:t>4.2, model list</w:t>
            </w:r>
          </w:p>
        </w:tc>
        <w:tc>
          <w:tcPr>
            <w:tcW w:type="dxa" w:w="1191"/>
          </w:tcPr>
          <w:p>
            <w:pPr>
              <w:spacing w:after="40" w:line="269" w:lineRule="auto"/>
            </w:pPr>
            <w:r/>
            <w:r>
              <w:rPr>
                <w:b/>
                <w:color w:val="9A6A00"/>
                <w:sz w:val="17"/>
              </w:rPr>
              <w:t>AWKWARD</w:t>
            </w:r>
          </w:p>
        </w:tc>
        <w:tc>
          <w:tcPr>
            <w:tcW w:type="dxa" w:w="3175"/>
          </w:tcPr>
          <w:p>
            <w:pPr>
              <w:spacing w:after="40" w:line="269" w:lineRule="auto"/>
            </w:pPr>
            <w:r/>
            <w:r>
              <w:rPr>
                <w:sz w:val="17"/>
              </w:rPr>
              <w:t>“Phi-3-Vision-4.2B is the last (Abdin et al., 2024).”</w:t>
            </w:r>
          </w:p>
        </w:tc>
        <w:tc>
          <w:tcPr>
            <w:tcW w:type="dxa" w:w="3402"/>
          </w:tcPr>
          <w:p>
            <w:pPr>
              <w:spacing w:after="40" w:line="269" w:lineRule="auto"/>
            </w:pPr>
            <w:r/>
            <w:r>
              <w:rPr>
                <w:sz w:val="17"/>
              </w:rPr>
              <w:t>“Phi-3-Vision-4.2B completes the suite (Abdin et al., 2024).”</w:t>
            </w:r>
          </w:p>
        </w:tc>
      </w:tr>
      <w:tr>
        <w:tc>
          <w:tcPr>
            <w:tcW w:type="dxa" w:w="1644"/>
          </w:tcPr>
          <w:p>
            <w:pPr>
              <w:spacing w:after="40" w:line="269" w:lineRule="auto"/>
            </w:pPr>
            <w:r/>
            <w:r>
              <w:rPr>
                <w:sz w:val="17"/>
              </w:rPr>
              <w:t>5.1, gain sentence</w:t>
            </w:r>
          </w:p>
        </w:tc>
        <w:tc>
          <w:tcPr>
            <w:tcW w:type="dxa" w:w="1191"/>
          </w:tcPr>
          <w:p>
            <w:pPr>
              <w:spacing w:after="40" w:line="269" w:lineRule="auto"/>
            </w:pPr>
            <w:r/>
            <w:r>
              <w:rPr>
                <w:b/>
                <w:color w:val="9A6A00"/>
                <w:sz w:val="17"/>
              </w:rPr>
              <w:t>POLISH (optional)</w:t>
            </w:r>
          </w:p>
        </w:tc>
        <w:tc>
          <w:tcPr>
            <w:tcW w:type="dxa" w:w="3175"/>
          </w:tcPr>
          <w:p>
            <w:pPr>
              <w:spacing w:after="40" w:line="269" w:lineRule="auto"/>
            </w:pPr>
            <w:r/>
            <w:r>
              <w:rPr>
                <w:sz w:val="17"/>
              </w:rPr>
              <w:t>“Phi-3-Vision-4.2B gains 7.31, and on Phi-3-Vision-4.2B, SmolVLM2-2.2B and Idefics2-8B the gap to CD sits inside sampling noise (p &gt; 0.99).”</w:t>
            </w:r>
          </w:p>
        </w:tc>
        <w:tc>
          <w:tcPr>
            <w:tcW w:type="dxa" w:w="3402"/>
          </w:tcPr>
          <w:p>
            <w:pPr>
              <w:spacing w:after="40" w:line="269" w:lineRule="auto"/>
            </w:pPr>
            <w:r/>
            <w:r>
              <w:rPr>
                <w:sz w:val="17"/>
              </w:rPr>
              <w:t>“Phi-3-Vision-4.2B gains 7.31; on Phi-3-Vision-4.2B, SmolVLM2-2.2B, and Idefics2-8B, the gap to CD sits inside sampling noise (p &gt; 0.99).” (semicolon + Oxford comma remove the doubled “and on…”)</w:t>
            </w:r>
          </w:p>
        </w:tc>
      </w:tr>
      <w:tr>
        <w:tc>
          <w:tcPr>
            <w:tcW w:type="dxa" w:w="1644"/>
          </w:tcPr>
          <w:p>
            <w:pPr>
              <w:spacing w:after="40" w:line="269" w:lineRule="auto"/>
            </w:pPr>
            <w:r/>
            <w:r>
              <w:rPr>
                <w:sz w:val="17"/>
              </w:rPr>
              <w:t>5.2</w:t>
            </w:r>
          </w:p>
        </w:tc>
        <w:tc>
          <w:tcPr>
            <w:tcW w:type="dxa" w:w="1191"/>
          </w:tcPr>
          <w:p>
            <w:pPr>
              <w:spacing w:after="40" w:line="269" w:lineRule="auto"/>
            </w:pPr>
            <w:r/>
            <w:r>
              <w:rPr>
                <w:b/>
                <w:color w:val="9A6A00"/>
                <w:sz w:val="17"/>
              </w:rPr>
              <w:t>WORD CHOICE</w:t>
            </w:r>
          </w:p>
        </w:tc>
        <w:tc>
          <w:tcPr>
            <w:tcW w:type="dxa" w:w="3175"/>
          </w:tcPr>
          <w:p>
            <w:pPr>
              <w:spacing w:after="40" w:line="269" w:lineRule="auto"/>
            </w:pPr>
            <w:r/>
            <w:r>
              <w:rPr>
                <w:sz w:val="17"/>
              </w:rPr>
              <w:t>“getting back suppressed visual evidence without giving up Specificity”</w:t>
            </w:r>
          </w:p>
        </w:tc>
        <w:tc>
          <w:tcPr>
            <w:tcW w:type="dxa" w:w="3402"/>
          </w:tcPr>
          <w:p>
            <w:pPr>
              <w:spacing w:after="40" w:line="269" w:lineRule="auto"/>
            </w:pPr>
            <w:r/>
            <w:r>
              <w:rPr>
                <w:sz w:val="17"/>
              </w:rPr>
              <w:t>“recovering the suppressed visual evidence without giving up Specificity”</w:t>
            </w:r>
          </w:p>
        </w:tc>
      </w:tr>
      <w:tr>
        <w:tc>
          <w:tcPr>
            <w:tcW w:type="dxa" w:w="1644"/>
          </w:tcPr>
          <w:p>
            <w:pPr>
              <w:spacing w:after="40" w:line="269" w:lineRule="auto"/>
            </w:pPr>
            <w:r/>
            <w:r>
              <w:rPr>
                <w:sz w:val="17"/>
              </w:rPr>
              <w:t>5.4, first paragraph</w:t>
            </w:r>
          </w:p>
        </w:tc>
        <w:tc>
          <w:tcPr>
            <w:tcW w:type="dxa" w:w="1191"/>
          </w:tcPr>
          <w:p>
            <w:pPr>
              <w:spacing w:after="40" w:line="269" w:lineRule="auto"/>
            </w:pPr>
            <w:r/>
            <w:r>
              <w:rPr>
                <w:b/>
                <w:color w:val="9A6A00"/>
                <w:sz w:val="17"/>
              </w:rPr>
              <w:t>POLISH (optional)</w:t>
            </w:r>
          </w:p>
        </w:tc>
        <w:tc>
          <w:tcPr>
            <w:tcW w:type="dxa" w:w="3175"/>
          </w:tcPr>
          <w:p>
            <w:pPr>
              <w:spacing w:after="40" w:line="269" w:lineRule="auto"/>
            </w:pPr>
            <w:r/>
            <w:r>
              <w:rPr>
                <w:sz w:val="17"/>
              </w:rPr>
              <w:t>“The response traces a hill, and where the summit sits tracks each model's entropy distribution”</w:t>
            </w:r>
          </w:p>
        </w:tc>
        <w:tc>
          <w:tcPr>
            <w:tcW w:type="dxa" w:w="3402"/>
          </w:tcPr>
          <w:p>
            <w:pPr>
              <w:spacing w:after="40" w:line="269" w:lineRule="auto"/>
            </w:pPr>
            <w:r/>
            <w:r>
              <w:rPr>
                <w:sz w:val="17"/>
              </w:rPr>
              <w:t>“The response traces a hill, and the summit's position tracks each model's entropy distribution”</w:t>
            </w:r>
          </w:p>
        </w:tc>
      </w:tr>
      <w:tr>
        <w:tc>
          <w:tcPr>
            <w:tcW w:type="dxa" w:w="1644"/>
          </w:tcPr>
          <w:p>
            <w:pPr>
              <w:spacing w:after="40" w:line="269" w:lineRule="auto"/>
            </w:pPr>
            <w:r/>
            <w:r>
              <w:rPr>
                <w:sz w:val="17"/>
              </w:rPr>
              <w:t>6.1, first paragraph</w:t>
            </w:r>
          </w:p>
        </w:tc>
        <w:tc>
          <w:tcPr>
            <w:tcW w:type="dxa" w:w="1191"/>
          </w:tcPr>
          <w:p>
            <w:pPr>
              <w:spacing w:after="40" w:line="269" w:lineRule="auto"/>
            </w:pPr>
            <w:r/>
            <w:r>
              <w:rPr>
                <w:b/>
                <w:color w:val="9A6A00"/>
                <w:sz w:val="17"/>
              </w:rPr>
              <w:t>TENSE</w:t>
            </w:r>
          </w:p>
        </w:tc>
        <w:tc>
          <w:tcPr>
            <w:tcW w:type="dxa" w:w="3175"/>
          </w:tcPr>
          <w:p>
            <w:pPr>
              <w:spacing w:after="40" w:line="269" w:lineRule="auto"/>
            </w:pPr>
            <w:r/>
            <w:r>
              <w:rPr>
                <w:sz w:val="17"/>
              </w:rPr>
              <w:t>“This paper treated relational hallucination as a decoding failure…”</w:t>
            </w:r>
          </w:p>
        </w:tc>
        <w:tc>
          <w:tcPr>
            <w:tcW w:type="dxa" w:w="3402"/>
          </w:tcPr>
          <w:p>
            <w:pPr>
              <w:spacing w:after="40" w:line="269" w:lineRule="auto"/>
            </w:pPr>
            <w:r/>
            <w:r>
              <w:rPr>
                <w:sz w:val="17"/>
              </w:rPr>
              <w:t>“This paper treats relational hallucination as a decoding failure…” (present tense for a summary)</w:t>
            </w:r>
          </w:p>
        </w:tc>
      </w:tr>
    </w:tbl>
    <w:p>
      <w:pPr>
        <w:pStyle w:val="Heading1"/>
      </w:pPr>
      <w:r>
        <w:rPr>
          <w:b w:val="0"/>
          <w:i w:val="0"/>
        </w:rPr>
        <w:t>9. Jargon - “stands down” and friends</w:t>
      </w:r>
    </w:p>
    <w:p>
      <w:r>
        <w:rPr>
          <w:b w:val="0"/>
          <w:i w:val="0"/>
          <w:sz w:val="20"/>
        </w:rPr>
        <w:t>“Stands down” is aviation/military metaphor for a gate that goes inactive; you flagged it once before and it still appears four times. Plain replacements below keep the meaning (the gate simply does not fire on sound models) without the metaphor. “Amateur” and “yes-ward shift” stay - they are cited terms of art from the contrastive-decoding literature (Li et al., 2023a; Yin et al., 2025).</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tblHeader w:val="true"/>
        </w:trPr>
        <w:tc>
          <w:tcPr>
            <w:tcW w:type="dxa" w:w="1928"/>
            <w:shd w:val="clear" w:fill="EAF1FA"/>
          </w:tcPr>
          <w:p>
            <w:pPr>
              <w:spacing w:after="40" w:line="264" w:lineRule="auto"/>
            </w:pPr>
            <w:r/>
            <w:r>
              <w:rPr>
                <w:b/>
                <w:color w:val="1F2A33"/>
                <w:sz w:val="17"/>
              </w:rPr>
              <w:t>Where</w:t>
            </w:r>
          </w:p>
        </w:tc>
        <w:tc>
          <w:tcPr>
            <w:tcW w:type="dxa" w:w="3628"/>
            <w:shd w:val="clear" w:fill="EAF1FA"/>
          </w:tcPr>
          <w:p>
            <w:pPr>
              <w:spacing w:after="40" w:line="264" w:lineRule="auto"/>
            </w:pPr>
            <w:r/>
            <w:r>
              <w:rPr>
                <w:b/>
                <w:color w:val="1F2A33"/>
                <w:sz w:val="17"/>
              </w:rPr>
              <w:t>Find</w:t>
            </w:r>
          </w:p>
        </w:tc>
        <w:tc>
          <w:tcPr>
            <w:tcW w:type="dxa" w:w="3855"/>
            <w:shd w:val="clear" w:fill="EAF1FA"/>
          </w:tcPr>
          <w:p>
            <w:pPr>
              <w:spacing w:after="40" w:line="264" w:lineRule="auto"/>
            </w:pPr>
            <w:r/>
            <w:r>
              <w:rPr>
                <w:b/>
                <w:color w:val="1F2A33"/>
                <w:sz w:val="17"/>
              </w:rPr>
              <w:t>Replace with</w:t>
            </w:r>
          </w:p>
        </w:tc>
      </w:tr>
      <w:tr>
        <w:tc>
          <w:tcPr>
            <w:tcW w:type="dxa" w:w="1928"/>
          </w:tcPr>
          <w:p>
            <w:pPr>
              <w:spacing w:after="40" w:line="269" w:lineRule="auto"/>
            </w:pPr>
            <w:r/>
            <w:r>
              <w:rPr>
                <w:sz w:val="17"/>
              </w:rPr>
              <w:t>Abstract</w:t>
            </w:r>
          </w:p>
        </w:tc>
        <w:tc>
          <w:tcPr>
            <w:tcW w:type="dxa" w:w="3628"/>
          </w:tcPr>
          <w:p>
            <w:pPr>
              <w:spacing w:after="40" w:line="269" w:lineRule="auto"/>
            </w:pPr>
            <w:r/>
            <w:r>
              <w:rPr>
                <w:sz w:val="17"/>
              </w:rPr>
              <w:t>“…the gate stands down and returns the baseline exactly.”</w:t>
            </w:r>
          </w:p>
        </w:tc>
        <w:tc>
          <w:tcPr>
            <w:tcW w:type="dxa" w:w="3855"/>
          </w:tcPr>
          <w:p>
            <w:pPr>
              <w:spacing w:after="40" w:line="269" w:lineRule="auto"/>
            </w:pPr>
            <w:r/>
            <w:r>
              <w:rPr>
                <w:sz w:val="17"/>
              </w:rPr>
              <w:t>“…the gate stays idle and returns the baseline exactly.”</w:t>
            </w:r>
          </w:p>
        </w:tc>
      </w:tr>
      <w:tr>
        <w:tc>
          <w:tcPr>
            <w:tcW w:type="dxa" w:w="1928"/>
          </w:tcPr>
          <w:p>
            <w:pPr>
              <w:spacing w:after="40" w:line="269" w:lineRule="auto"/>
            </w:pPr>
            <w:r/>
            <w:r>
              <w:rPr>
                <w:sz w:val="17"/>
              </w:rPr>
              <w:t>1. Introduction, third paragraph</w:t>
            </w:r>
          </w:p>
        </w:tc>
        <w:tc>
          <w:tcPr>
            <w:tcW w:type="dxa" w:w="3628"/>
          </w:tcPr>
          <w:p>
            <w:pPr>
              <w:spacing w:after="40" w:line="269" w:lineRule="auto"/>
            </w:pPr>
            <w:r/>
            <w:r>
              <w:rPr>
                <w:sz w:val="17"/>
              </w:rPr>
              <w:t>“The same gate that heals biased architectures stands down on structurally sound ones…”</w:t>
            </w:r>
          </w:p>
        </w:tc>
        <w:tc>
          <w:tcPr>
            <w:tcW w:type="dxa" w:w="3855"/>
          </w:tcPr>
          <w:p>
            <w:pPr>
              <w:spacing w:after="40" w:line="269" w:lineRule="auto"/>
            </w:pPr>
            <w:r/>
            <w:r>
              <w:rPr>
                <w:sz w:val="17"/>
              </w:rPr>
              <w:t>“The same gate that heals biased architectures stays idle on structurally sound ones…” (already folded into Section 8, row 4)</w:t>
            </w:r>
          </w:p>
        </w:tc>
      </w:tr>
      <w:tr>
        <w:tc>
          <w:tcPr>
            <w:tcW w:type="dxa" w:w="1928"/>
          </w:tcPr>
          <w:p>
            <w:pPr>
              <w:spacing w:after="40" w:line="269" w:lineRule="auto"/>
            </w:pPr>
            <w:r/>
            <w:r>
              <w:rPr>
                <w:sz w:val="17"/>
              </w:rPr>
              <w:t>1. Introduction, Contribution 3</w:t>
            </w:r>
          </w:p>
        </w:tc>
        <w:tc>
          <w:tcPr>
            <w:tcW w:type="dxa" w:w="3628"/>
          </w:tcPr>
          <w:p>
            <w:pPr>
              <w:spacing w:after="40" w:line="269" w:lineRule="auto"/>
            </w:pPr>
            <w:r/>
            <w:r>
              <w:rPr>
                <w:sz w:val="17"/>
              </w:rPr>
              <w:t>“EGCD lifts balanced accuracy by up to 9.39 points on biased architectures and stands down on structurally sound ones…”</w:t>
            </w:r>
          </w:p>
        </w:tc>
        <w:tc>
          <w:tcPr>
            <w:tcW w:type="dxa" w:w="3855"/>
          </w:tcPr>
          <w:p>
            <w:pPr>
              <w:spacing w:after="40" w:line="269" w:lineRule="auto"/>
            </w:pPr>
            <w:r/>
            <w:r>
              <w:rPr>
                <w:sz w:val="17"/>
              </w:rPr>
              <w:t>“…and stays idle on structurally sound ones…”</w:t>
            </w:r>
          </w:p>
        </w:tc>
      </w:tr>
      <w:tr>
        <w:tc>
          <w:tcPr>
            <w:tcW w:type="dxa" w:w="1928"/>
          </w:tcPr>
          <w:p>
            <w:pPr>
              <w:spacing w:after="40" w:line="269" w:lineRule="auto"/>
            </w:pPr>
            <w:r/>
            <w:r>
              <w:rPr>
                <w:sz w:val="17"/>
              </w:rPr>
              <w:t>6.1, shared-threshold sentence</w:t>
            </w:r>
          </w:p>
        </w:tc>
        <w:tc>
          <w:tcPr>
            <w:tcW w:type="dxa" w:w="3628"/>
          </w:tcPr>
          <w:p>
            <w:pPr>
              <w:spacing w:after="40" w:line="269" w:lineRule="auto"/>
            </w:pPr>
            <w:r/>
            <w:r>
              <w:rPr>
                <w:sz w:val="17"/>
              </w:rPr>
              <w:t>“…but costs the stand-down on LLaVA-1.5-7B, where a suite-wide τ = 0.69 drops balanced accuracy to 73.19…”</w:t>
            </w:r>
          </w:p>
        </w:tc>
        <w:tc>
          <w:tcPr>
            <w:tcW w:type="dxa" w:w="3855"/>
          </w:tcPr>
          <w:p>
            <w:pPr>
              <w:spacing w:after="40" w:line="269" w:lineRule="auto"/>
            </w:pPr>
            <w:r/>
            <w:r>
              <w:rPr>
                <w:sz w:val="17"/>
              </w:rPr>
              <w:t>“…but gives up the idle-gate safety on LLaVA-1.5-7B, where a suite-wide τ = 0.69 drops balanced accuracy to 73.19…”</w:t>
            </w:r>
          </w:p>
        </w:tc>
      </w:tr>
      <w:tr>
        <w:tc>
          <w:tcPr>
            <w:tcW w:type="dxa" w:w="1928"/>
          </w:tcPr>
          <w:p>
            <w:pPr>
              <w:spacing w:after="40" w:line="269" w:lineRule="auto"/>
            </w:pPr>
            <w:r/>
            <w:r>
              <w:rPr>
                <w:sz w:val="17"/>
              </w:rPr>
              <w:t>2.2, closing sentence (optional)</w:t>
            </w:r>
          </w:p>
        </w:tc>
        <w:tc>
          <w:tcPr>
            <w:tcW w:type="dxa" w:w="3628"/>
          </w:tcPr>
          <w:p>
            <w:pPr>
              <w:spacing w:after="40" w:line="269" w:lineRule="auto"/>
            </w:pPr>
            <w:r/>
            <w:r>
              <w:rPr>
                <w:sz w:val="17"/>
              </w:rPr>
              <w:t>“…shows that the damage and the dead spots depend on the amateur and on the model.”</w:t>
            </w:r>
          </w:p>
        </w:tc>
        <w:tc>
          <w:tcPr>
            <w:tcW w:type="dxa" w:w="3855"/>
          </w:tcPr>
          <w:p>
            <w:pPr>
              <w:spacing w:after="40" w:line="269" w:lineRule="auto"/>
            </w:pPr>
            <w:r/>
            <w:r>
              <w:rPr>
                <w:sz w:val="17"/>
              </w:rPr>
              <w:t>“…shows that where a method damages a model, and where it does nothing, both depend on the amateur and on the model.”</w:t>
            </w:r>
          </w:p>
        </w:tc>
      </w:tr>
    </w:tbl>
    <w:p>
      <w:pPr>
        <w:pStyle w:val="Heading1"/>
      </w:pPr>
      <w:r>
        <w:rPr>
          <w:b w:val="0"/>
          <w:i w:val="0"/>
        </w:rPr>
        <w:t>10. Duplication report - things said twice (or four times)</w:t>
      </w:r>
    </w:p>
    <w:p>
      <w:r>
        <w:rPr>
          <w:b w:val="0"/>
          <w:i w:val="0"/>
          <w:sz w:val="20"/>
        </w:rPr>
        <w:t>Repetition across sections is the one remaining stylistic weakness a reviewer will notice. Six findings, with the trim that keeps the paper's logic intact: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tblHeader w:val="true"/>
        </w:trPr>
        <w:tc>
          <w:tcPr>
            <w:tcW w:type="dxa" w:w="1757"/>
            <w:shd w:val="clear" w:fill="EAF1FA"/>
          </w:tcPr>
          <w:p>
            <w:pPr>
              <w:spacing w:after="40" w:line="264" w:lineRule="auto"/>
            </w:pPr>
            <w:r/>
            <w:r>
              <w:rPr>
                <w:b/>
                <w:color w:val="1F2A33"/>
                <w:sz w:val="17"/>
              </w:rPr>
              <w:t>Repeated item</w:t>
            </w:r>
          </w:p>
        </w:tc>
        <w:tc>
          <w:tcPr>
            <w:tcW w:type="dxa" w:w="3515"/>
            <w:shd w:val="clear" w:fill="EAF1FA"/>
          </w:tcPr>
          <w:p>
            <w:pPr>
              <w:spacing w:after="40" w:line="264" w:lineRule="auto"/>
            </w:pPr>
            <w:r/>
            <w:r>
              <w:rPr>
                <w:b/>
                <w:color w:val="1F2A33"/>
                <w:sz w:val="17"/>
              </w:rPr>
              <w:t>Where it repeats</w:t>
            </w:r>
          </w:p>
        </w:tc>
        <w:tc>
          <w:tcPr>
            <w:tcW w:type="dxa" w:w="4139"/>
            <w:shd w:val="clear" w:fill="EAF1FA"/>
          </w:tcPr>
          <w:p>
            <w:pPr>
              <w:spacing w:after="40" w:line="264" w:lineRule="auto"/>
            </w:pPr>
            <w:r/>
            <w:r>
              <w:rPr>
                <w:b/>
                <w:color w:val="1F2A33"/>
                <w:sz w:val="17"/>
              </w:rPr>
              <w:t>What to keep / trim</w:t>
            </w:r>
          </w:p>
        </w:tc>
      </w:tr>
      <w:tr>
        <w:tc>
          <w:tcPr>
            <w:tcW w:type="dxa" w:w="1757"/>
          </w:tcPr>
          <w:p>
            <w:pPr>
              <w:spacing w:after="40" w:line="269" w:lineRule="auto"/>
            </w:pPr>
            <w:r/>
            <w:r>
              <w:rPr>
                <w:sz w:val="17"/>
              </w:rPr>
              <w:t>Visual Inertia definition</w:t>
            </w:r>
          </w:p>
        </w:tc>
        <w:tc>
          <w:tcPr>
            <w:tcW w:type="dxa" w:w="3515"/>
          </w:tcPr>
          <w:p>
            <w:pPr>
              <w:spacing w:after="40" w:line="269" w:lineRule="auto"/>
            </w:pPr>
            <w:r/>
            <w:r>
              <w:rPr>
                <w:sz w:val="17"/>
              </w:rPr>
              <w:t>4 places: 1 (para 2), 2.1 (para 2), 3.1 (para 2), 6.1 (para 1) - all some variant of “cross-attention settles early, grounding decays, language priors finish the answer”.</w:t>
            </w:r>
          </w:p>
        </w:tc>
        <w:tc>
          <w:tcPr>
            <w:tcW w:type="dxa" w:w="4139"/>
          </w:tcPr>
          <w:p>
            <w:pPr>
              <w:spacing w:after="40" w:line="269" w:lineRule="auto"/>
            </w:pPr>
            <w:r/>
            <w:r>
              <w:rPr>
                <w:sz w:val="17"/>
              </w:rPr>
              <w:t>Keep 2.1 (the literature account with Gong et al.'s numbers) and 3.1 (the formal target). In 1, compress to a clause: “…cross-attention settles on the earliest salient objects and stops moving - the mechanism Gong et al. (2026) name Visual Inertia (Section 2.1).” Keep 6.1's one-line recap; conclusions may recap.</w:t>
            </w:r>
          </w:p>
        </w:tc>
      </w:tr>
      <w:tr>
        <w:tc>
          <w:tcPr>
            <w:tcW w:type="dxa" w:w="1757"/>
          </w:tcPr>
          <w:p>
            <w:pPr>
              <w:spacing w:after="40" w:line="269" w:lineRule="auto"/>
            </w:pPr>
            <w:r/>
            <w:r>
              <w:rPr>
                <w:sz w:val="17"/>
              </w:rPr>
              <w:t>Contrastive Decoding failure mode</w:t>
            </w:r>
          </w:p>
        </w:tc>
        <w:tc>
          <w:tcPr>
            <w:tcW w:type="dxa" w:w="3515"/>
          </w:tcPr>
          <w:p>
            <w:pPr>
              <w:spacing w:after="40" w:line="269" w:lineRule="auto"/>
            </w:pPr>
            <w:r/>
            <w:r>
              <w:rPr>
                <w:sz w:val="17"/>
              </w:rPr>
              <w:t>2 places with the same two citations: 1 (para 3) and 2.2 (para 2) - “yes-ward shift + sampling collapse”, Yin et al. 2025 + Bendre et al. 2026 named in both.</w:t>
            </w:r>
          </w:p>
        </w:tc>
        <w:tc>
          <w:tcPr>
            <w:tcW w:type="dxa" w:w="4139"/>
          </w:tcPr>
          <w:p>
            <w:pPr>
              <w:spacing w:after="40" w:line="269" w:lineRule="auto"/>
            </w:pPr>
            <w:r/>
            <w:r>
              <w:rPr>
                <w:sz w:val="17"/>
              </w:rPr>
              <w:t>Keep the full account in 2.2. In 1, reduce to: “Applied uniformly, it has a documented failure mode (Section 2.2): much of its benchmark gain can come from a yes-ward shift of the output distribution rather than better grounding.” Drop the Bendre mention from 1 - it lives in 2.2.</w:t>
            </w:r>
          </w:p>
        </w:tc>
      </w:tr>
      <w:tr>
        <w:tc>
          <w:tcPr>
            <w:tcW w:type="dxa" w:w="1757"/>
          </w:tcPr>
          <w:p>
            <w:pPr>
              <w:spacing w:after="40" w:line="269" w:lineRule="auto"/>
            </w:pPr>
            <w:r/>
            <w:r>
              <w:rPr>
                <w:sz w:val="17"/>
              </w:rPr>
              <w:t>Balanced-accuracy definition</w:t>
            </w:r>
          </w:p>
        </w:tc>
        <w:tc>
          <w:tcPr>
            <w:tcW w:type="dxa" w:w="3515"/>
          </w:tcPr>
          <w:p>
            <w:pPr>
              <w:spacing w:after="40" w:line="269" w:lineRule="auto"/>
            </w:pPr>
            <w:r/>
            <w:r>
              <w:rPr>
                <w:sz w:val="17"/>
              </w:rPr>
              <w:t>2 places: 4.3 (formal, with the Brodersen citation) and 5.1 (“Recall and Specificity each cover one split of the benchmark, so Balanced Accuracy is the arithmetic mean of the true-positive and true-negative rates.”)</w:t>
            </w:r>
          </w:p>
        </w:tc>
        <w:tc>
          <w:tcPr>
            <w:tcW w:type="dxa" w:w="4139"/>
          </w:tcPr>
          <w:p>
            <w:pPr>
              <w:spacing w:after="40" w:line="269" w:lineRule="auto"/>
            </w:pPr>
            <w:r/>
            <w:r>
              <w:rPr>
                <w:sz w:val="17"/>
              </w:rPr>
              <w:t>Delete the 5.1 restatement; after “Table 1 summarizes the five decoding regimes.” go straight to “Three patterns stand out.”</w:t>
            </w:r>
          </w:p>
        </w:tc>
      </w:tr>
      <w:tr>
        <w:tc>
          <w:tcPr>
            <w:tcW w:type="dxa" w:w="1757"/>
          </w:tcPr>
          <w:p>
            <w:pPr>
              <w:spacing w:after="40" w:line="269" w:lineRule="auto"/>
            </w:pPr>
            <w:r/>
            <w:r>
              <w:rPr>
                <w:sz w:val="17"/>
              </w:rPr>
              <w:t>Gate-is-free claim</w:t>
            </w:r>
          </w:p>
        </w:tc>
        <w:tc>
          <w:tcPr>
            <w:tcW w:type="dxa" w:w="3515"/>
          </w:tcPr>
          <w:p>
            <w:pPr>
              <w:spacing w:after="40" w:line="269" w:lineRule="auto"/>
            </w:pPr>
            <w:r/>
            <w:r>
              <w:rPr>
                <w:sz w:val="17"/>
              </w:rPr>
              <w:t>3 places: Contribution 2 (1), 2.3 (last two sentences), 3.2 (“Because the gate reads a forward-pass statistic that System 1 already computes, checking the gate adds no overhead.”)</w:t>
            </w:r>
          </w:p>
        </w:tc>
        <w:tc>
          <w:tcPr>
            <w:tcW w:type="dxa" w:w="4139"/>
          </w:tcPr>
          <w:p>
            <w:pPr>
              <w:spacing w:after="40" w:line="269" w:lineRule="auto"/>
            </w:pPr>
            <w:r/>
            <w:r>
              <w:rPr>
                <w:sz w:val="17"/>
              </w:rPr>
              <w:t>Keep 3.2 (methods) and Contribution 2 (contributions may state costs). In 2.3, merge the last two sentences into one: “EGCD uses none of this: it routes once per query, on a first-token statistic the standard pass already produces.”</w:t>
            </w:r>
          </w:p>
        </w:tc>
      </w:tr>
      <w:tr>
        <w:tc>
          <w:tcPr>
            <w:tcW w:type="dxa" w:w="1757"/>
          </w:tcPr>
          <w:p>
            <w:pPr>
              <w:spacing w:after="40" w:line="269" w:lineRule="auto"/>
            </w:pPr>
            <w:r/>
            <w:r>
              <w:rPr>
                <w:sz w:val="17"/>
              </w:rPr>
              <w:t>Thesis refrain (apply where it heals / withhold where it harms)</w:t>
            </w:r>
          </w:p>
        </w:tc>
        <w:tc>
          <w:tcPr>
            <w:tcW w:type="dxa" w:w="3515"/>
          </w:tcPr>
          <w:p>
            <w:pPr>
              <w:spacing w:after="40" w:line="269" w:lineRule="auto"/>
            </w:pPr>
            <w:r/>
            <w:r>
              <w:rPr>
                <w:sz w:val="17"/>
              </w:rPr>
              <w:t>4 places: Abstract, 1 (gap statement), 5.4 (“prices the intervention correctly in both directions”), 6.1 (“applied where it helps and withheld where it would do damage”).</w:t>
            </w:r>
          </w:p>
        </w:tc>
        <w:tc>
          <w:tcPr>
            <w:tcW w:type="dxa" w:w="4139"/>
          </w:tcPr>
          <w:p>
            <w:pPr>
              <w:spacing w:after="40" w:line="269" w:lineRule="auto"/>
            </w:pPr>
            <w:r/>
            <w:r>
              <w:rPr>
                <w:sz w:val="17"/>
              </w:rPr>
              <w:t>Keep Abstract, 1, and 5.4 (each does different work and 5.4's wording is fresh). Reword 6.1's ending so it stops echoing the abstract: “What comes out is a conditional, architecture-aware use of contrastive decoding that spends its correction only on the queries that need it.”</w:t>
            </w:r>
          </w:p>
        </w:tc>
      </w:tr>
      <w:tr>
        <w:tc>
          <w:tcPr>
            <w:tcW w:type="dxa" w:w="1757"/>
          </w:tcPr>
          <w:p>
            <w:pPr>
              <w:spacing w:after="40" w:line="269" w:lineRule="auto"/>
            </w:pPr>
            <w:r/>
            <w:r>
              <w:rPr>
                <w:sz w:val="17"/>
              </w:rPr>
              <w:t>Idefics2 0.7-point band</w:t>
            </w:r>
          </w:p>
        </w:tc>
        <w:tc>
          <w:tcPr>
            <w:tcW w:type="dxa" w:w="3515"/>
          </w:tcPr>
          <w:p>
            <w:pPr>
              <w:spacing w:after="40" w:line="269" w:lineRule="auto"/>
            </w:pPr>
            <w:r/>
            <w:r>
              <w:rPr>
                <w:sz w:val="17"/>
              </w:rPr>
              <w:t>2 places: 5.3 (“stays within a 0.7-point band across the entire range and does not differ from either regime (p &gt; 0.99)”) and 5.4 (“never leaves a 0.7-point band anywhere in the sweep (Figure 6)”).</w:t>
            </w:r>
          </w:p>
        </w:tc>
        <w:tc>
          <w:tcPr>
            <w:tcW w:type="dxa" w:w="4139"/>
          </w:tcPr>
          <w:p>
            <w:pPr>
              <w:spacing w:after="40" w:line="269" w:lineRule="auto"/>
            </w:pPr>
            <w:r/>
            <w:r>
              <w:rPr>
                <w:sz w:val="17"/>
              </w:rPr>
              <w:t>Keep 5.4 (it is the dynamics reading). In 5.3 shorten to: “Idefics2-8B does not differ from either regime (p &gt; 0.99), and LLaVA-1.5-7B returns its baseline exactly.” Optional but tidy.</w:t>
            </w:r>
          </w:p>
        </w:tc>
      </w:tr>
    </w:tbl>
    <w:p>
      <w:pPr>
        <w:pStyle w:val="Heading1"/>
      </w:pPr>
      <w:r>
        <w:rPr>
          <w:b w:val="0"/>
          <w:i w:val="0"/>
        </w:rPr>
        <w:t>11. Consistency and cleanup</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tblHeader w:val="true"/>
        </w:trPr>
        <w:tc>
          <w:tcPr>
            <w:tcW w:type="dxa" w:w="2041"/>
            <w:shd w:val="clear" w:fill="EAF1FA"/>
          </w:tcPr>
          <w:p>
            <w:pPr>
              <w:spacing w:after="40" w:line="264" w:lineRule="auto"/>
            </w:pPr>
            <w:r/>
            <w:r>
              <w:rPr>
                <w:b/>
                <w:color w:val="1F2A33"/>
                <w:sz w:val="17"/>
              </w:rPr>
              <w:t>Item</w:t>
            </w:r>
          </w:p>
        </w:tc>
        <w:tc>
          <w:tcPr>
            <w:tcW w:type="dxa" w:w="3742"/>
            <w:shd w:val="clear" w:fill="EAF1FA"/>
          </w:tcPr>
          <w:p>
            <w:pPr>
              <w:spacing w:after="40" w:line="264" w:lineRule="auto"/>
            </w:pPr>
            <w:r/>
            <w:r>
              <w:rPr>
                <w:b/>
                <w:color w:val="1F2A33"/>
                <w:sz w:val="17"/>
              </w:rPr>
              <w:t>What is off</w:t>
            </w:r>
          </w:p>
        </w:tc>
        <w:tc>
          <w:tcPr>
            <w:tcW w:type="dxa" w:w="3628"/>
            <w:shd w:val="clear" w:fill="EAF1FA"/>
          </w:tcPr>
          <w:p>
            <w:pPr>
              <w:spacing w:after="40" w:line="264" w:lineRule="auto"/>
            </w:pPr>
            <w:r/>
            <w:r>
              <w:rPr>
                <w:b/>
                <w:color w:val="1F2A33"/>
                <w:sz w:val="17"/>
              </w:rPr>
              <w:t>Fix</w:t>
            </w:r>
          </w:p>
        </w:tc>
      </w:tr>
      <w:tr>
        <w:tc>
          <w:tcPr>
            <w:tcW w:type="dxa" w:w="2041"/>
          </w:tcPr>
          <w:p>
            <w:pPr>
              <w:spacing w:after="40" w:line="269" w:lineRule="auto"/>
            </w:pPr>
            <w:r/>
            <w:r>
              <w:rPr>
                <w:sz w:val="17"/>
              </w:rPr>
              <w:t>21 empty Heading-1 paragraphs</w:t>
            </w:r>
          </w:p>
        </w:tc>
        <w:tc>
          <w:tcPr>
            <w:tcW w:type="dxa" w:w="3742"/>
          </w:tcPr>
          <w:p>
            <w:pPr>
              <w:spacing w:after="40" w:line="269" w:lineRule="auto"/>
            </w:pPr>
            <w:r/>
            <w:r>
              <w:rPr>
                <w:sz w:val="17"/>
              </w:rPr>
              <w:t>Stray empty Heading 1 paragraphs sit after the title, around the Abstract, after 6.2, and in a run of 13 between References and Appendix A.</w:t>
            </w:r>
          </w:p>
        </w:tc>
        <w:tc>
          <w:tcPr>
            <w:tcW w:type="dxa" w:w="3628"/>
          </w:tcPr>
          <w:p>
            <w:pPr>
              <w:spacing w:after="40" w:line="269" w:lineRule="auto"/>
            </w:pPr>
            <w:r/>
            <w:r>
              <w:rPr>
                <w:sz w:val="17"/>
              </w:rPr>
              <w:t>Delete all of them - they pollute the navigation pane and any auto-generated TOC.</w:t>
            </w:r>
          </w:p>
        </w:tc>
      </w:tr>
      <w:tr>
        <w:tc>
          <w:tcPr>
            <w:tcW w:type="dxa" w:w="2041"/>
          </w:tcPr>
          <w:p>
            <w:pPr>
              <w:spacing w:after="40" w:line="269" w:lineRule="auto"/>
            </w:pPr>
            <w:r/>
            <w:r>
              <w:rPr>
                <w:sz w:val="17"/>
              </w:rPr>
              <w:t>Caption_1 and Caption_5 styled as Heading 2</w:t>
            </w:r>
          </w:p>
        </w:tc>
        <w:tc>
          <w:tcPr>
            <w:tcW w:type="dxa" w:w="3742"/>
          </w:tcPr>
          <w:p>
            <w:pPr>
              <w:spacing w:after="40" w:line="269" w:lineRule="auto"/>
            </w:pPr>
            <w:r/>
            <w:r>
              <w:rPr>
                <w:sz w:val="17"/>
              </w:rPr>
              <w:t>Two caption placeholders carry a heading style.</w:t>
            </w:r>
          </w:p>
        </w:tc>
        <w:tc>
          <w:tcPr>
            <w:tcW w:type="dxa" w:w="3628"/>
          </w:tcPr>
          <w:p>
            <w:pPr>
              <w:spacing w:after="40" w:line="269" w:lineRule="auto"/>
            </w:pPr>
            <w:r/>
            <w:r>
              <w:rPr>
                <w:sz w:val="17"/>
              </w:rPr>
              <w:t>Change both to body/caption style once the real captions are pasted (all other placeholders are already body style).</w:t>
            </w:r>
          </w:p>
        </w:tc>
      </w:tr>
      <w:tr>
        <w:tc>
          <w:tcPr>
            <w:tcW w:type="dxa" w:w="2041"/>
          </w:tcPr>
          <w:p>
            <w:pPr>
              <w:spacing w:after="40" w:line="269" w:lineRule="auto"/>
            </w:pPr>
            <w:r/>
            <w:r>
              <w:rPr>
                <w:sz w:val="17"/>
              </w:rPr>
              <w:t>6.2 titled “Future Work” only</w:t>
            </w:r>
          </w:p>
        </w:tc>
        <w:tc>
          <w:tcPr>
            <w:tcW w:type="dxa" w:w="3742"/>
          </w:tcPr>
          <w:p>
            <w:pPr>
              <w:spacing w:after="40" w:line="269" w:lineRule="auto"/>
            </w:pPr>
            <w:r/>
            <w:r>
              <w:rPr>
                <w:sz w:val="17"/>
              </w:rPr>
              <w:t>The introduction's roadmap promises “limitations and future work”, and the shared-threshold ablation (a limitation) currently sits at the end of 6.1.</w:t>
            </w:r>
          </w:p>
        </w:tc>
        <w:tc>
          <w:tcPr>
            <w:tcW w:type="dxa" w:w="3628"/>
          </w:tcPr>
          <w:p>
            <w:pPr>
              <w:spacing w:after="40" w:line="269" w:lineRule="auto"/>
            </w:pPr>
            <w:r/>
            <w:r>
              <w:rPr>
                <w:sz w:val="17"/>
              </w:rPr>
              <w:t>Rename 6.2 to “Limitations and Future Work”, and optionally move the “One shared threshold for the whole suite…” sentence from 6.1 to its start.</w:t>
            </w:r>
          </w:p>
        </w:tc>
      </w:tr>
      <w:tr>
        <w:tc>
          <w:tcPr>
            <w:tcW w:type="dxa" w:w="2041"/>
          </w:tcPr>
          <w:p>
            <w:pPr>
              <w:spacing w:after="40" w:line="269" w:lineRule="auto"/>
            </w:pPr>
            <w:r/>
            <w:r>
              <w:rPr>
                <w:sz w:val="17"/>
              </w:rPr>
              <w:t>ICLR reference style</w:t>
            </w:r>
          </w:p>
        </w:tc>
        <w:tc>
          <w:tcPr>
            <w:tcW w:type="dxa" w:w="3742"/>
          </w:tcPr>
          <w:p>
            <w:pPr>
              <w:spacing w:after="40" w:line="269" w:lineRule="auto"/>
            </w:pPr>
            <w:r/>
            <w:r>
              <w:rPr>
                <w:sz w:val="17"/>
              </w:rPr>
              <w:t>Im et al. reads “In Proceedings of the International Conference on Learning Representations (ICLR)”; Chuang, Huo and Xiao read “In International Conference on Learning Representations (ICLR)”.</w:t>
            </w:r>
          </w:p>
        </w:tc>
        <w:tc>
          <w:tcPr>
            <w:tcW w:type="dxa" w:w="3628"/>
          </w:tcPr>
          <w:p>
            <w:pPr>
              <w:spacing w:after="40" w:line="269" w:lineRule="auto"/>
            </w:pPr>
            <w:r/>
            <w:r>
              <w:rPr>
                <w:sz w:val="17"/>
              </w:rPr>
              <w:t>Drop “Proceedings of the” from the Im et al. entry to match the other three.</w:t>
            </w:r>
          </w:p>
        </w:tc>
      </w:tr>
      <w:tr>
        <w:tc>
          <w:tcPr>
            <w:tcW w:type="dxa" w:w="2041"/>
          </w:tcPr>
          <w:p>
            <w:pPr>
              <w:spacing w:after="40" w:line="269" w:lineRule="auto"/>
            </w:pPr>
            <w:r/>
            <w:r>
              <w:rPr>
                <w:sz w:val="17"/>
              </w:rPr>
              <w:t>Laurençon accent</w:t>
            </w:r>
          </w:p>
        </w:tc>
        <w:tc>
          <w:tcPr>
            <w:tcW w:type="dxa" w:w="3742"/>
          </w:tcPr>
          <w:p>
            <w:pPr>
              <w:spacing w:after="40" w:line="269" w:lineRule="auto"/>
            </w:pPr>
            <w:r/>
            <w:r>
              <w:rPr>
                <w:sz w:val="17"/>
              </w:rPr>
              <w:t>In-text citations use “Laurençon et al., 2024”; the reference list spells “Laurencon, H.”</w:t>
            </w:r>
          </w:p>
        </w:tc>
        <w:tc>
          <w:tcPr>
            <w:tcW w:type="dxa" w:w="3628"/>
          </w:tcPr>
          <w:p>
            <w:pPr>
              <w:spacing w:after="40" w:line="269" w:lineRule="auto"/>
            </w:pPr>
            <w:r/>
            <w:r>
              <w:rPr>
                <w:sz w:val="17"/>
              </w:rPr>
              <w:t>Restore the cedilla in the reference list: “Laurençon, H.”</w:t>
            </w:r>
          </w:p>
        </w:tc>
      </w:tr>
      <w:tr>
        <w:tc>
          <w:tcPr>
            <w:tcW w:type="dxa" w:w="2041"/>
          </w:tcPr>
          <w:p>
            <w:pPr>
              <w:spacing w:after="40" w:line="269" w:lineRule="auto"/>
            </w:pPr>
            <w:r/>
            <w:r>
              <w:rPr>
                <w:sz w:val="17"/>
              </w:rPr>
              <w:t>Favero et al. author list</w:t>
            </w:r>
          </w:p>
        </w:tc>
        <w:tc>
          <w:tcPr>
            <w:tcW w:type="dxa" w:w="3742"/>
          </w:tcPr>
          <w:p>
            <w:pPr>
              <w:spacing w:after="40" w:line="269" w:lineRule="auto"/>
            </w:pPr>
            <w:r/>
            <w:r>
              <w:rPr>
                <w:sz w:val="17"/>
              </w:rPr>
              <w:t>The entry reads “Favero, A., Luca, M., et al.” - but the second author's surname is Zancato (Luca Zancato).</w:t>
            </w:r>
          </w:p>
        </w:tc>
        <w:tc>
          <w:tcPr>
            <w:tcW w:type="dxa" w:w="3628"/>
          </w:tcPr>
          <w:p>
            <w:pPr>
              <w:spacing w:after="40" w:line="269" w:lineRule="auto"/>
            </w:pPr>
            <w:r/>
            <w:r>
              <w:rPr>
                <w:sz w:val="17"/>
              </w:rPr>
              <w:t>Correct to “Favero, A., Zancato, L., et al. (2024)”, and check the remaining names against the CVPR paper.</w:t>
            </w:r>
          </w:p>
        </w:tc>
      </w:tr>
      <w:tr>
        <w:tc>
          <w:tcPr>
            <w:tcW w:type="dxa" w:w="2041"/>
          </w:tcPr>
          <w:p>
            <w:pPr>
              <w:spacing w:after="40" w:line="269" w:lineRule="auto"/>
            </w:pPr>
            <w:r/>
            <w:r>
              <w:rPr>
                <w:sz w:val="17"/>
              </w:rPr>
              <w:t>τ decimal style</w:t>
            </w:r>
          </w:p>
        </w:tc>
        <w:tc>
          <w:tcPr>
            <w:tcW w:type="dxa" w:w="3742"/>
          </w:tcPr>
          <w:p>
            <w:pPr>
              <w:spacing w:after="40" w:line="269" w:lineRule="auto"/>
            </w:pPr>
            <w:r/>
            <w:r>
              <w:rPr>
                <w:sz w:val="17"/>
              </w:rPr>
              <w:t>Table 1 rows use two decimals (τ = 0.70), the appendix grid uses three (0.550). Both fine - but keep the τ* list in the appendix intro at three decimals to match the grid it summarizes.</w:t>
            </w:r>
          </w:p>
        </w:tc>
        <w:tc>
          <w:tcPr>
            <w:tcW w:type="dxa" w:w="3628"/>
          </w:tcPr>
          <w:p>
            <w:pPr>
              <w:spacing w:after="40" w:line="269" w:lineRule="auto"/>
            </w:pPr>
            <w:r/>
            <w:r>
              <w:rPr>
                <w:sz w:val="17"/>
              </w:rPr>
              <w:t>No action beyond using the Section 6 replacement paragraph, which already does this.</w:t>
            </w:r>
          </w:p>
        </w:tc>
      </w:tr>
      <w:tr>
        <w:tc>
          <w:tcPr>
            <w:tcW w:type="dxa" w:w="2041"/>
          </w:tcPr>
          <w:p>
            <w:pPr>
              <w:spacing w:after="40" w:line="269" w:lineRule="auto"/>
            </w:pPr>
            <w:r/>
            <w:r>
              <w:rPr>
                <w:sz w:val="17"/>
              </w:rPr>
              <w:t>Reference list completeness</w:t>
            </w:r>
          </w:p>
        </w:tc>
        <w:tc>
          <w:tcPr>
            <w:tcW w:type="dxa" w:w="3742"/>
          </w:tcPr>
          <w:p>
            <w:pPr>
              <w:spacing w:after="40" w:line="269" w:lineRule="auto"/>
            </w:pPr>
            <w:r/>
            <w:r>
              <w:rPr>
                <w:sz w:val="17"/>
              </w:rPr>
              <w:t>Checked: every entry in the list is cited in the text, and every citation resolves. The two Chen et al. entries (2024 SpatialVLM / 2026 region-aware) are disambiguated by year.</w:t>
            </w:r>
          </w:p>
        </w:tc>
        <w:tc>
          <w:tcPr>
            <w:tcW w:type="dxa" w:w="3628"/>
          </w:tcPr>
          <w:p>
            <w:pPr>
              <w:spacing w:after="40" w:line="269" w:lineRule="auto"/>
            </w:pPr>
            <w:r/>
            <w:r>
              <w:rPr>
                <w:sz w:val="17"/>
              </w:rPr>
              <w:t>Nothing to do - recorded here so you do not re-audit.</w:t>
            </w:r>
          </w:p>
        </w:tc>
      </w:tr>
    </w:tbl>
    <w:p>
      <w:pPr>
        <w:pStyle w:val="Heading1"/>
      </w:pPr>
      <w:r>
        <w:rPr>
          <w:b w:val="0"/>
          <w:i w:val="0"/>
        </w:rPr>
        <w:t>12. Verified correct - do NOT change these</w:t>
      </w:r>
    </w:p>
    <w:p>
      <w:r>
        <w:rPr>
          <w:b w:val="0"/>
          <w:i w:val="0"/>
          <w:sz w:val="20"/>
        </w:rPr>
        <w:t>Each item below looks like a candidate error but is deliberate or correct; changing it would introduce a real inconsistency. If an earlier note from me contradicts a row here, this list wins.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tblHeader w:val="true"/>
        </w:trPr>
        <w:tc>
          <w:tcPr>
            <w:tcW w:type="dxa" w:w="2381"/>
            <w:shd w:val="clear" w:fill="EAF1FA"/>
          </w:tcPr>
          <w:p>
            <w:pPr>
              <w:spacing w:after="40" w:line="264" w:lineRule="auto"/>
            </w:pPr>
            <w:r/>
            <w:r>
              <w:rPr>
                <w:b/>
                <w:color w:val="1F2A33"/>
                <w:sz w:val="17"/>
              </w:rPr>
              <w:t>Item</w:t>
            </w:r>
          </w:p>
        </w:tc>
        <w:tc>
          <w:tcPr>
            <w:tcW w:type="dxa" w:w="5329"/>
            <w:shd w:val="clear" w:fill="EAF1FA"/>
          </w:tcPr>
          <w:p>
            <w:pPr>
              <w:spacing w:after="40" w:line="264" w:lineRule="auto"/>
            </w:pPr>
            <w:r/>
            <w:r>
              <w:rPr>
                <w:b/>
                <w:color w:val="1F2A33"/>
                <w:sz w:val="17"/>
              </w:rPr>
              <w:t>Why it is correct</w:t>
            </w:r>
          </w:p>
        </w:tc>
        <w:tc>
          <w:tcPr>
            <w:tcW w:type="dxa" w:w="1701"/>
            <w:shd w:val="clear" w:fill="EAF1FA"/>
          </w:tcPr>
          <w:p>
            <w:pPr>
              <w:spacing w:after="40" w:line="264" w:lineRule="auto"/>
            </w:pPr>
            <w:r/>
            <w:r>
              <w:rPr>
                <w:b/>
                <w:color w:val="1F2A33"/>
                <w:sz w:val="17"/>
              </w:rPr>
              <w:t>Verdict</w:t>
            </w:r>
          </w:p>
        </w:tc>
      </w:tr>
      <w:tr>
        <w:tc>
          <w:tcPr>
            <w:tcW w:type="dxa" w:w="2381"/>
          </w:tcPr>
          <w:p>
            <w:pPr>
              <w:spacing w:after="40" w:line="269" w:lineRule="auto"/>
            </w:pPr>
            <w:r/>
            <w:r>
              <w:rPr>
                <w:sz w:val="17"/>
              </w:rPr>
              <w:t>“Phi-3-Vision-4.2B gains 7.31”</w:t>
            </w:r>
          </w:p>
        </w:tc>
        <w:tc>
          <w:tcPr>
            <w:tcW w:type="dxa" w:w="5329"/>
          </w:tcPr>
          <w:p>
            <w:pPr>
              <w:spacing w:after="40" w:line="269" w:lineRule="auto"/>
            </w:pPr>
            <w:r/>
            <w:r>
              <w:rPr>
                <w:sz w:val="17"/>
              </w:rPr>
              <w:t>77.50 − 70.18 = 7.32 from rounded values, but the unrounded difference and Figure 3's cell both say 7.31. Keep 7.31.</w:t>
            </w:r>
          </w:p>
        </w:tc>
        <w:tc>
          <w:tcPr>
            <w:tcW w:type="dxa" w:w="1701"/>
          </w:tcPr>
          <w:p>
            <w:pPr>
              <w:spacing w:after="40" w:line="269" w:lineRule="auto"/>
            </w:pPr>
            <w:r/>
            <w:r>
              <w:rPr>
                <w:b/>
                <w:color w:val="1B7A3D"/>
                <w:sz w:val="17"/>
              </w:rPr>
              <w:t>KEEP</w:t>
            </w:r>
          </w:p>
        </w:tc>
      </w:tr>
      <w:tr>
        <w:tc>
          <w:tcPr>
            <w:tcW w:type="dxa" w:w="2381"/>
          </w:tcPr>
          <w:p>
            <w:pPr>
              <w:spacing w:after="40" w:line="269" w:lineRule="auto"/>
            </w:pPr>
            <w:r/>
            <w:r>
              <w:rPr>
                <w:sz w:val="17"/>
              </w:rPr>
              <w:t>5.1: “SID… stays within 0.7 points of the greedy baseline on every model with paired held-out data”</w:t>
            </w:r>
          </w:p>
        </w:tc>
        <w:tc>
          <w:tcPr>
            <w:tcW w:type="dxa" w:w="5329"/>
          </w:tcPr>
          <w:p>
            <w:pPr>
              <w:spacing w:after="40" w:line="269" w:lineRule="auto"/>
            </w:pPr>
            <w:r/>
            <w:r>
              <w:rPr>
                <w:sz w:val="17"/>
              </w:rPr>
              <w:t>Correct as scoped: the largest deviation among paired models is 0.68 (SmolVLM2). Mistral's +0.80 is excluded by the “paired held-out data” qualifier and is daggered in Table 1.</w:t>
            </w:r>
          </w:p>
        </w:tc>
        <w:tc>
          <w:tcPr>
            <w:tcW w:type="dxa" w:w="1701"/>
          </w:tcPr>
          <w:p>
            <w:pPr>
              <w:spacing w:after="40" w:line="269" w:lineRule="auto"/>
            </w:pPr>
            <w:r/>
            <w:r>
              <w:rPr>
                <w:b/>
                <w:color w:val="1B7A3D"/>
                <w:sz w:val="17"/>
              </w:rPr>
              <w:t>KEEP</w:t>
            </w:r>
          </w:p>
        </w:tc>
      </w:tr>
      <w:tr>
        <w:tc>
          <w:tcPr>
            <w:tcW w:type="dxa" w:w="2381"/>
          </w:tcPr>
          <w:p>
            <w:pPr>
              <w:spacing w:after="40" w:line="269" w:lineRule="auto"/>
            </w:pPr>
            <w:r/>
            <w:r>
              <w:rPr>
                <w:sz w:val="17"/>
              </w:rPr>
              <w:t>5.4: “toward the 71.50% baseline”</w:t>
            </w:r>
          </w:p>
        </w:tc>
        <w:tc>
          <w:tcPr>
            <w:tcW w:type="dxa" w:w="5329"/>
          </w:tcPr>
          <w:p>
            <w:pPr>
              <w:spacing w:after="40" w:line="269" w:lineRule="auto"/>
            </w:pPr>
            <w:r/>
            <w:r>
              <w:rPr>
                <w:sz w:val="17"/>
              </w:rPr>
              <w:t>The sweep curve converges to the tuning-half greedy (≈71.6), and 71.50 is the held-out baseline the paper reports; the 0.1-point gap is invisible in prose and the sentence was deliberately swapped to 71.50 in the last round.</w:t>
            </w:r>
          </w:p>
        </w:tc>
        <w:tc>
          <w:tcPr>
            <w:tcW w:type="dxa" w:w="1701"/>
          </w:tcPr>
          <w:p>
            <w:pPr>
              <w:spacing w:after="40" w:line="269" w:lineRule="auto"/>
            </w:pPr>
            <w:r/>
            <w:r>
              <w:rPr>
                <w:b/>
                <w:color w:val="1B7A3D"/>
                <w:sz w:val="17"/>
              </w:rPr>
              <w:t>KEEP</w:t>
            </w:r>
          </w:p>
        </w:tc>
      </w:tr>
      <w:tr>
        <w:tc>
          <w:tcPr>
            <w:tcW w:type="dxa" w:w="2381"/>
          </w:tcPr>
          <w:p>
            <w:pPr>
              <w:spacing w:after="40" w:line="269" w:lineRule="auto"/>
            </w:pPr>
            <w:r/>
            <w:r>
              <w:rPr>
                <w:sz w:val="17"/>
              </w:rPr>
              <w:t>“amateur”, “yes-ward shift”</w:t>
            </w:r>
          </w:p>
        </w:tc>
        <w:tc>
          <w:tcPr>
            <w:tcW w:type="dxa" w:w="5329"/>
          </w:tcPr>
          <w:p>
            <w:pPr>
              <w:spacing w:after="40" w:line="269" w:lineRule="auto"/>
            </w:pPr>
            <w:r/>
            <w:r>
              <w:rPr>
                <w:sz w:val="17"/>
              </w:rPr>
              <w:t>Established, cited terminology from the contrastive-decoding literature.</w:t>
            </w:r>
          </w:p>
        </w:tc>
        <w:tc>
          <w:tcPr>
            <w:tcW w:type="dxa" w:w="1701"/>
          </w:tcPr>
          <w:p>
            <w:pPr>
              <w:spacing w:after="40" w:line="269" w:lineRule="auto"/>
            </w:pPr>
            <w:r/>
            <w:r>
              <w:rPr>
                <w:b/>
                <w:color w:val="1B7A3D"/>
                <w:sz w:val="17"/>
              </w:rPr>
              <w:t>KEEP</w:t>
            </w:r>
          </w:p>
        </w:tc>
      </w:tr>
      <w:tr>
        <w:tc>
          <w:tcPr>
            <w:tcW w:type="dxa" w:w="2381"/>
          </w:tcPr>
          <w:p>
            <w:pPr>
              <w:spacing w:after="40" w:line="269" w:lineRule="auto"/>
            </w:pPr>
            <w:r/>
            <w:r>
              <w:rPr>
                <w:sz w:val="17"/>
              </w:rPr>
              <w:t>Figure 1 artwork</w:t>
            </w:r>
          </w:p>
        </w:tc>
        <w:tc>
          <w:tcPr>
            <w:tcW w:type="dxa" w:w="5329"/>
          </w:tcPr>
          <w:p>
            <w:pPr>
              <w:spacing w:after="40" w:line="269" w:lineRule="auto"/>
            </w:pPr>
            <w:r/>
            <w:r>
              <w:rPr>
                <w:sz w:val="17"/>
              </w:rPr>
              <w:t>Untouched by design - the integration only replaced results figures. Only its caption may become a one-liner (C1).</w:t>
            </w:r>
          </w:p>
        </w:tc>
        <w:tc>
          <w:tcPr>
            <w:tcW w:type="dxa" w:w="1701"/>
          </w:tcPr>
          <w:p>
            <w:pPr>
              <w:spacing w:after="40" w:line="269" w:lineRule="auto"/>
            </w:pPr>
            <w:r/>
            <w:r>
              <w:rPr>
                <w:b/>
                <w:color w:val="1B7A3D"/>
                <w:sz w:val="17"/>
              </w:rPr>
              <w:t>KEEP</w:t>
            </w:r>
          </w:p>
        </w:tc>
      </w:tr>
      <w:tr>
        <w:tc>
          <w:tcPr>
            <w:tcW w:type="dxa" w:w="2381"/>
          </w:tcPr>
          <w:p>
            <w:pPr>
              <w:spacing w:after="40" w:line="269" w:lineRule="auto"/>
            </w:pPr>
            <w:r/>
            <w:r>
              <w:rPr>
                <w:sz w:val="17"/>
              </w:rPr>
              <w:t>Mistral full-set values (Table 1 † rows, Figure 6 third panel, Figure 7 curve)</w:t>
            </w:r>
          </w:p>
        </w:tc>
        <w:tc>
          <w:tcPr>
            <w:tcW w:type="dxa" w:w="5329"/>
          </w:tcPr>
          <w:p>
            <w:pPr>
              <w:spacing w:after="40" w:line="269" w:lineRule="auto"/>
            </w:pPr>
            <w:r/>
            <w:r>
              <w:rPr>
                <w:sz w:val="17"/>
              </w:rPr>
              <w:t>No per-item data exists until the re-run; the dagger, the Table 1 caption, and the asset captions carry the caveat. Do not “fix” these numbers.</w:t>
            </w:r>
          </w:p>
        </w:tc>
        <w:tc>
          <w:tcPr>
            <w:tcW w:type="dxa" w:w="1701"/>
          </w:tcPr>
          <w:p>
            <w:pPr>
              <w:spacing w:after="40" w:line="269" w:lineRule="auto"/>
            </w:pPr>
            <w:r/>
            <w:r>
              <w:rPr>
                <w:b/>
                <w:color w:val="1B7A3D"/>
                <w:sz w:val="17"/>
              </w:rPr>
              <w:t>KEEP</w:t>
            </w:r>
          </w:p>
        </w:tc>
      </w:tr>
      <w:tr>
        <w:tc>
          <w:tcPr>
            <w:tcW w:type="dxa" w:w="2381"/>
          </w:tcPr>
          <w:p>
            <w:pPr>
              <w:spacing w:after="40" w:line="269" w:lineRule="auto"/>
            </w:pPr>
            <w:r/>
            <w:r>
              <w:rPr>
                <w:sz w:val="17"/>
              </w:rPr>
              <w:t>No Section 5.5 / Figure 8</w:t>
            </w:r>
          </w:p>
        </w:tc>
        <w:tc>
          <w:tcPr>
            <w:tcW w:type="dxa" w:w="5329"/>
          </w:tcPr>
          <w:p>
            <w:pPr>
              <w:spacing w:after="40" w:line="269" w:lineRule="auto"/>
            </w:pPr>
            <w:r/>
            <w:r>
              <w:rPr>
                <w:sz w:val="17"/>
              </w:rPr>
              <w:t>Retired design - their content is carried by the Table 1 rows, Figures 2-3 and the 5.1 VCD/SID block. Do not re-create them.</w:t>
            </w:r>
          </w:p>
        </w:tc>
        <w:tc>
          <w:tcPr>
            <w:tcW w:type="dxa" w:w="1701"/>
          </w:tcPr>
          <w:p>
            <w:pPr>
              <w:spacing w:after="40" w:line="269" w:lineRule="auto"/>
            </w:pPr>
            <w:r/>
            <w:r>
              <w:rPr>
                <w:b/>
                <w:color w:val="1B7A3D"/>
                <w:sz w:val="17"/>
              </w:rPr>
              <w:t>KEEP</w:t>
            </w:r>
          </w:p>
        </w:tc>
      </w:tr>
      <w:tr>
        <w:tc>
          <w:tcPr>
            <w:tcW w:type="dxa" w:w="2381"/>
          </w:tcPr>
          <w:p>
            <w:pPr>
              <w:spacing w:after="40" w:line="269" w:lineRule="auto"/>
            </w:pPr>
            <w:r/>
            <w:r>
              <w:rPr>
                <w:sz w:val="17"/>
              </w:rPr>
              <w:t>No InternVL3-2B / MiniCPM-V-4.6</w:t>
            </w:r>
          </w:p>
        </w:tc>
        <w:tc>
          <w:tcPr>
            <w:tcW w:type="dxa" w:w="5329"/>
          </w:tcPr>
          <w:p>
            <w:pPr>
              <w:spacing w:after="40" w:line="269" w:lineRule="auto"/>
            </w:pPr>
            <w:r/>
            <w:r>
              <w:rPr>
                <w:sz w:val="17"/>
              </w:rPr>
              <w:t>The archive lists them as optional, but they carry no VCD/SID runs - adding them would put a three-regime block inside a five-regime paper.</w:t>
            </w:r>
          </w:p>
        </w:tc>
        <w:tc>
          <w:tcPr>
            <w:tcW w:type="dxa" w:w="1701"/>
          </w:tcPr>
          <w:p>
            <w:pPr>
              <w:spacing w:after="40" w:line="269" w:lineRule="auto"/>
            </w:pPr>
            <w:r/>
            <w:r>
              <w:rPr>
                <w:b/>
                <w:color w:val="1B7A3D"/>
                <w:sz w:val="17"/>
              </w:rPr>
              <w:t>KEEP</w:t>
            </w:r>
          </w:p>
        </w:tc>
      </w:tr>
    </w:tbl>
    <w:p>
      <w:pPr>
        <w:pStyle w:val="Heading1"/>
      </w:pPr>
      <w:r>
        <w:rPr>
          <w:b w:val="0"/>
          <w:i w:val="0"/>
        </w:rPr>
        <w:t>13. Final checklist and publish-readiness verdict</w:t>
      </w:r>
    </w:p>
    <w:p>
      <w:r>
        <w:rPr>
          <w:b w:val="0"/>
          <w:i w:val="0"/>
          <w:sz w:val="20"/>
        </w:rPr>
        <w:t>Apply in this order - later steps assume earlier ones:</w:t>
      </w:r>
    </w:p>
    <w:p>
      <w:pPr>
        <w:pStyle w:val="ListNumber"/>
      </w:pPr>
      <w:r>
        <w:t>Replace Table 1 with the 35-row five-regime version + new caption (Section 2).</w:t>
      </w:r>
    </w:p>
    <w:p>
      <w:pPr>
        <w:pStyle w:val="ListNumber"/>
      </w:pPr>
      <w:r>
        <w:t>Replace the Appendix A intro paragraph (Section 6) and the appendix table with table.docx (GitHub).</w:t>
      </w:r>
    </w:p>
    <w:p>
      <w:pPr>
        <w:pStyle w:val="ListNumber"/>
      </w:pPr>
      <w:r>
        <w:t>Split the 5.2 “trade” paragraph and fix the Figure 4 / Figure 5 pointers (Section 5.1).</w:t>
      </w:r>
    </w:p>
    <w:p>
      <w:pPr>
        <w:pStyle w:val="ListNumber"/>
      </w:pPr>
      <w:r>
        <w:t>Move the Figure 5 image + Caption_4 from 5.3 into 5.2 (Section 3).</w:t>
      </w:r>
    </w:p>
    <w:p>
      <w:pPr>
        <w:pStyle w:val="ListNumber"/>
      </w:pPr>
      <w:r>
        <w:t>Fix the remaining cross-references: “Figure 5 shows” to “Figure 6 shows” in 5.3, “(Figure 4)” to “(Figure 5)” in 5.4, and the Figure 7 sentence in 5.4 (Section 4).</w:t>
      </w:r>
    </w:p>
    <w:p>
      <w:pPr>
        <w:pStyle w:val="ListNumber"/>
      </w:pPr>
      <w:r>
        <w:t>Move Figure 7 + Caption_6 up one paragraph in 5.4 (Section 3).</w:t>
      </w:r>
    </w:p>
    <w:p>
      <w:pPr>
        <w:pStyle w:val="ListNumber"/>
      </w:pPr>
      <w:r>
        <w:t>Insert figA2a_sweep_heatmap.png between A1 and A2b in the appendix (Section 3).</w:t>
      </w:r>
    </w:p>
    <w:p>
      <w:pPr>
        <w:pStyle w:val="ListNumber"/>
      </w:pPr>
      <w:r>
        <w:t>Paste captions C2-C10 from captions.docx into the placeholders; restyle Caption_1 and Caption_5 if they still carry Heading 2 (Section 7).</w:t>
      </w:r>
    </w:p>
    <w:p>
      <w:pPr>
        <w:pStyle w:val="ListNumber"/>
      </w:pPr>
      <w:r>
        <w:t>Apply the missed edits and stale-number swaps (Section 5.2): E7 76.78, 6.1 76.78, abstract held-out clause, 5.3 recall 75.00, Y_CD subscripts, optional Mistral routing note.</w:t>
      </w:r>
    </w:p>
    <w:p>
      <w:pPr>
        <w:pStyle w:val="ListNumber"/>
      </w:pPr>
      <w:r>
        <w:t>Fix the broken Introduction sentence and the grammar rows (Section 8).</w:t>
      </w:r>
    </w:p>
    <w:p>
      <w:pPr>
        <w:pStyle w:val="ListNumber"/>
      </w:pPr>
      <w:r>
        <w:t>Replace the four “stands down” wordings (Section 9).</w:t>
      </w:r>
    </w:p>
    <w:p>
      <w:pPr>
        <w:pStyle w:val="ListNumber"/>
      </w:pPr>
      <w:r>
        <w:t>Apply the six duplication trims (Section 10).</w:t>
      </w:r>
    </w:p>
    <w:p>
      <w:pPr>
        <w:pStyle w:val="ListNumber"/>
      </w:pPr>
      <w:r>
        <w:t>Cleanup: delete the 21 empty Heading-1 paragraphs, rename 6.2, fix the three reference entries (Section 11).</w:t>
      </w:r>
    </w:p>
    <w:p>
      <w:pPr>
        <w:pStyle w:val="ListNumber"/>
      </w:pPr>
      <w:r>
        <w:t>Re-read Sections 4.4, 5.1 and Appendix A once more after the table swap - they are the three places where prose and tables must agree on “five regimes” and “six tuning-half models”.</w:t>
      </w:r>
    </w:p>
    <w:p/>
    <w:p>
      <w:r>
        <w:rPr>
          <w:b w:val="0"/>
          <w:i w:val="0"/>
          <w:sz w:val="20"/>
        </w:rPr>
        <w:t>Verdict. Once this list is applied, the paper is content-ready for your supervisor's final review: every supervisor concern from the review round is answered in the text (published baselines in Table 1 and 5.1; the McNemar-scoped gain claim; the shuffled-routing control and activation rates; the honest Contribution 1; the shared-threshold ablation; the disciplined trade-off wording), the numbers agree across abstract, Table 1, figures and appendix, each figure sits at its reference with a one-line caption, and the known limitations (Mistral full-set rows, per-model τ*) are flagged exactly where a reviewer will look. What remains afterwards is venue mechanics only - template and typesetting, author block and affiliations, venue-specific caption or abstract limits - none of which belong to this draft's content. The two tables (Sections 2 and 6) are the long poles; everything else is minutes.</w:t>
      </w:r>
    </w:p>
    <w:sectPr w:rsidR="00FC693F" w:rsidRPr="0006063C" w:rsidSect="00034616">
      <w:footerReference w:type="default" r:id="rId9"/>
      <w:pgSz w:w="11906" w:h="16838"/>
      <w:pgMar w:top="119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7"/>
      </w:rPr>
      <w:t xml:space="preserve">EGCD 10th-draft review &amp; fix list  ·  page </w:t>
    </w:r>
    <w:fldSimple w:instr=" PAGE ">
      <w:r>
        <w:rPr>
          <w:sz w:val="17"/>
          <w:color w:val="5F6B7A"/>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left"/>
    </w:pPr>
    <w:rPr>
      <w:rFonts w:ascii="Calibri" w:hAnsi="Calibri" w:eastAsia="Noto Sans SC"/>
      <w:color w:val="1F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line="276" w:lineRule="auto"/>
      <w:outlineLvl w:val="0"/>
    </w:pPr>
    <w:rPr>
      <w:rFonts w:asciiTheme="majorHAnsi" w:eastAsiaTheme="majorEastAsia" w:hAnsiTheme="majorHAnsi" w:cstheme="majorBidi" w:ascii="Calibri" w:hAnsi="Calibri"/>
      <w:b/>
      <w:bCs/>
      <w:color w:val="0B7C71"/>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Calibri" w:hAnsi="Calibri"/>
      <w:b/>
      <w:bCs/>
      <w:color w:val="1F2A33"/>
      <w:sz w:val="25"/>
      <w:szCs w:val="26"/>
    </w:rPr>
  </w:style>
  <w:style w:type="paragraph" w:styleId="Heading3">
    <w:name w:val="heading 3"/>
    <w:basedOn w:val="Normal"/>
    <w:next w:val="Normal"/>
    <w:link w:val="Heading3Char"/>
    <w:uiPriority w:val="9"/>
    <w:unhideWhenUsed/>
    <w:qFormat/>
    <w:rsid w:val="00FC693F"/>
    <w:pPr>
      <w:keepNext/>
      <w:keepLines/>
      <w:spacing w:before="160" w:after="100" w:line="276" w:lineRule="auto"/>
      <w:outlineLvl w:val="2"/>
    </w:pPr>
    <w:rPr>
      <w:rFonts w:asciiTheme="majorHAnsi" w:eastAsiaTheme="majorEastAsia" w:hAnsiTheme="majorHAnsi" w:cstheme="majorBidi" w:ascii="Calibri" w:hAnsi="Calibri"/>
      <w:b/>
      <w:bCs/>
      <w:color w:val="1F2A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