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28"/>
          <w:szCs w:val="28"/>
        </w:rPr>
        <w:t xml:space="preserve">Data-Driven Analysis of Library Management: Borrowing Patterns, Fine Risk Prediction, and Peak Demand</w:t>
      </w:r>
    </w:p>
    <w:p>
      <w:pPr>
        <w:spacing w:after="80"/>
        <w:jc w:val="center"/>
      </w:pPr>
      <w:r>
        <w:rPr>
          <w:rFonts w:ascii="Times New Roman" w:cs="Times New Roman" w:eastAsia="Times New Roman" w:hAnsi="Times New Roman"/>
          <w:sz w:val="20"/>
          <w:szCs w:val="20"/>
        </w:rPr>
        <w:t xml:space="preserve">Farhan Hussain, Kartik, Avijit, Trigya, Aman Karn, Tanishka</w:t>
      </w:r>
    </w:p>
    <w:p>
      <w:pPr>
        <w:spacing w:after="80"/>
        <w:jc w:val="center"/>
      </w:pPr>
      <w:r>
        <w:rPr>
          <w:rFonts w:ascii="Times New Roman" w:cs="Times New Roman" w:eastAsia="Times New Roman" w:hAnsi="Times New Roman"/>
          <w:i/>
          <w:iCs/>
          <w:sz w:val="20"/>
          <w:szCs w:val="20"/>
        </w:rPr>
        <w:t xml:space="preserve">Department of Computer Science and Engineering</w:t>
      </w:r>
    </w:p>
    <w:p>
      <w:pPr>
        <w:spacing w:after="240"/>
        <w:jc w:val="center"/>
      </w:pPr>
      <w:r>
        <w:rPr>
          <w:rFonts w:ascii="Times New Roman" w:cs="Times New Roman" w:eastAsia="Times New Roman" w:hAnsi="Times New Roman"/>
          <w:i/>
          <w:iCs/>
          <w:sz w:val="20"/>
          <w:szCs w:val="20"/>
        </w:rPr>
        <w:t xml:space="preserve">K.R. Mangalam University, Gurugram, Haryana, India</w:t>
      </w:r>
    </w:p>
    <w:p>
      <w:pPr>
        <w:spacing w:after="80"/>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—Academic libraries across India continue to rely on manual or semi-automated systems for book issuance, return tracking, and fine collection, leaving substantial transactional intelligence unexploited for evidence-based operational decisions. This paper presents a rigorous data-driven analysis of a synthetic library transaction dataset comprising </w:t>
      </w:r>
      <w:r>
        <w:rPr>
          <w:rFonts w:ascii="Times New Roman" w:cs="Times New Roman" w:eastAsia="Times New Roman" w:hAnsi="Times New Roman"/>
          <w:b/>
          <w:bCs/>
          <w:sz w:val="20"/>
          <w:szCs w:val="20"/>
        </w:rPr>
        <w:t xml:space="preserve">1,042 records</w:t>
      </w:r>
      <w:r>
        <w:rPr>
          <w:rFonts w:ascii="Times New Roman" w:cs="Times New Roman" w:eastAsia="Times New Roman" w:hAnsi="Times New Roman"/>
          <w:sz w:val="20"/>
          <w:szCs w:val="20"/>
        </w:rPr>
        <w:t xml:space="preserve"> spanning 198 students and 30 book titles over a 12-month period (January–December 2023). The study addresses six research questions: (RQ1) identification of high-demand titles; (RQ2) characterisation of monthly borrowing peaks; (RQ3) profiling of high-fine students and quantification of their revenue share; (RQ4) machine learning-based fine risk prediction; (RQ5) evaluation of the uniform 14-day loan policy across genres; and (RQ6) quantification of the statistical relationship between borrowing frequency and fine accumulation.</w:t>
      </w:r>
    </w:p>
    <w:p>
      <w:pPr>
        <w:spacing w:after="80"/>
      </w:pPr>
      <w:r>
        <w:rPr>
          <w:rFonts w:ascii="Times New Roman" w:cs="Times New Roman" w:eastAsia="Times New Roman" w:hAnsi="Times New Roman"/>
          <w:sz w:val="20"/>
          <w:szCs w:val="20"/>
        </w:rPr>
        <w:t xml:space="preserve">Frequency analysis identified Indian History, Aptitude, and DBMS as the three most borrowed titles (44 transactions each). October (135 transactions) and January (130 transactions) emerged as peak demand months, registering 73.1% and 66.7% above the annual median of 78 transactions, respectively. The top 10% of students by cumulative fine (~20 students) accounted for 34.5% of total fine revenue (INR 1,600 of INR 4,644). Among four binary classifiers evaluated, Logistic Regression achieved the highest performance at 85% accuracy (F1 = 0.84). Engineering and Science books were retained for means of 17.2 and 16.7 days, respectively — both systematically exceeding the 14-day policy limit — providing unambiguous evidence for a tiered loan policy. A Pearson correlation of r = 0.34 (p &lt; 0.05) confirmed a statistically significant positive association between borrowing frequency and total fines.</w:t>
      </w:r>
    </w:p>
    <w:p>
      <w:pPr>
        <w:spacing w:after="200"/>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Library Management, Data Analysis, Python, Borrowing Patterns, Fine Risk Prediction, Machine Learning, Synthetic Dataset, Scikit-learn.</w:t>
      </w:r>
    </w:p>
    <w:p>
      <w:pPr>
        <w:spacing w:after="120" w:before="240"/>
        <w:jc w:val="center"/>
      </w:pPr>
      <w:r>
        <w:rPr>
          <w:rFonts w:ascii="Times New Roman" w:cs="Times New Roman" w:eastAsia="Times New Roman" w:hAnsi="Times New Roman"/>
          <w:b/>
          <w:bCs/>
          <w:caps/>
          <w:sz w:val="22"/>
          <w:szCs w:val="22"/>
        </w:rPr>
        <w:t xml:space="preserve">I. Introduction</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Academic libraries constitute the primary knowledge infrastructure of university campuses, yet the transactional data generated by daily borrowing activity is seldom subjected to systematic analysis. The overwhelming majority of Indian academic institutions continue to manage issuances, returns, and fine collection through manual registers or rudimentary software that records transactions without mining them for operational intelligence. Consequently, critical decisions regarding acquisitions, staffing allocation, and fine enforcement are driven by intuition rather than evidence — producing avoidable inefficiencies such as stock shortages during examination periods and disproportionate fine concentration within a small student cohort.</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This paper addresses that gap directly. Established data science and machine learning techniques are applied to a transaction-level library dataset in which each record captures a single borrowing event — including student identifier, book identifier, issue date, due date, return date, and fine incurred. The analytical pipeline employs Python with the Pandas [7], Matplotlib [5], Seaborn, and Scikit-learn [10] libraries.</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The dataset is synthetic, generated using Python's Faker and NumPy libraries to simulate a realistic 12-month transaction log comprising 1,042 records, 198 students, and 30 book titles. This methodological choice reflects the significant ethical and privacy constraints surrounding real student borrowing data, particularly in the context of India's evolving data-protection legislation [12]. The synthetic dataset was constructed to preserve realistic distributional properties — including genre-specific borrowing durations, seasonal demand peaks, and heterogeneous fine accumulation patterns — while ensuring that no individual is identifiable.</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The remainder of this paper is organised as follows: Section II reviews related work; Section III defines the research objectives; Section IV describes the dataset and methodology; Section V presents results for all six research questions; Section VI compares machine learning classifiers; Section VII proposes future extensions; Section VIII summarises key findings; Section IX concludes.</w:t>
      </w:r>
    </w:p>
    <w:p>
      <w:pPr>
        <w:spacing w:after="120" w:before="240"/>
        <w:jc w:val="center"/>
      </w:pPr>
      <w:r>
        <w:rPr>
          <w:rFonts w:ascii="Times New Roman" w:cs="Times New Roman" w:eastAsia="Times New Roman" w:hAnsi="Times New Roman"/>
          <w:b/>
          <w:bCs/>
          <w:caps/>
          <w:sz w:val="22"/>
          <w:szCs w:val="22"/>
        </w:rPr>
        <w:t xml:space="preserve">II. Literature Review</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The literature on data-driven library management spans three thematic areas: AI-assisted cataloguing and resource management, predictive analytics for borrowing behaviour, and the ethical dimensions of applying machine learning to student data. The following review proceeds from foundational surveys through methodological antecedents to directly comparable empirical work, establishing the positioning and contribution of the present study.</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Foundational surveys by Bhatnagar and Hegde [1] and Chien and Chou [2] established the broader context. Bhatnagar and Hegde surveyed AI applications across library and information science — including cataloguing automation, personalised search, and resource management — but did not address transactional fine prediction. Chien and Chou conducted a systematic review of machine learning in library operations and identified predictive analytics and recommendation systems as the two highest-impact application categories, providing a theoretical basis for the present work's prediction focus.</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From a strategic standpoint, Clement and Shadbolt [3] argued explicitly for data-driven resource allocation and demand forecasting as priorities for library modernisation, directly motivating the demand-peak and acquisition analyses in RQ1 and RQ2. Liu and Yang [6] and Mehta and Jain [8] further demonstrated the operational benefits of machine learning for personalised library services, reinforcing the case for embedding predictive models into issuance workflows.</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In the domain of educational data mining, Romero and Ventura [11] and Zhang [14] established that mining student transaction records surfaces behavioural patterns with actionable policy implications — providing theoretical justification for treating borrowing behaviour as a data mining problem. Tang and Xu [12] raised critical ethical considerations regarding student data in AI systems, directly motivating the synthetic dataset approach adopted here.</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The most directly analogous empirical work is that of Daimari et al. [4], who applied Random Forest, Support Vector Machine, and Artificial Neural Network classifiers to real library transaction data from an Indian university, achieving up to 89% accuracy in predicting book availability. Their study establishes the technical feasibility of machine learning-based library prediction in the Indian academic context and constitutes the primary performance benchmark for the present work's 85% Logistic Regression result. Muthu [9] and Tiwari and Kaur [13] provide additional complementary evidence on AI-driven cataloguing and metadata generation, collectively confirming that the Indian academic library domain is an active and tractable target for data-science intervention.</w:t>
      </w:r>
    </w:p>
    <w:p>
      <w:pPr>
        <w:spacing w:after="120" w:before="240"/>
        <w:jc w:val="center"/>
      </w:pPr>
      <w:r>
        <w:rPr>
          <w:rFonts w:ascii="Times New Roman" w:cs="Times New Roman" w:eastAsia="Times New Roman" w:hAnsi="Times New Roman"/>
          <w:b/>
          <w:bCs/>
          <w:caps/>
          <w:sz w:val="22"/>
          <w:szCs w:val="22"/>
        </w:rPr>
        <w:t xml:space="preserve">III. Research Objectives</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This study is organised around six research questions (RQ1–RQ6), each targeting a specific operational gap in academic library management:</w:t>
      </w:r>
    </w:p>
    <w:p>
      <w:pPr>
        <w:spacing w:after="200"/>
      </w:pPr>
      <w:r>
        <w:rPr>
          <w:rFonts w:ascii="Times New Roman" w:cs="Times New Roman" w:eastAsia="Times New Roman" w:hAnsi="Times New Roman"/>
          <w:sz w:val="20"/>
          <w:szCs w:val="20"/>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tblGrid>
      <w:tr>
        <w:trPr>
          <w:tblHeader/>
        </w:trPr>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RQ</w:t>
            </w:r>
          </w:p>
        </w:tc>
        <w:tc>
          <w:tcPr>
            <w:tcW w:type="dxa" w:w="66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Objective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RQ1</w:t>
            </w:r>
          </w:p>
        </w:tc>
        <w:tc>
          <w:tcPr>
            <w:tcW w:type="dxa" w:w="6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Identify the most frequently borrowed titles to inform acquisition prioritisation.</w:t>
            </w:r>
          </w:p>
        </w:tc>
      </w:tr>
      <w:tr>
        <w:tc>
          <w:tcPr>
            <w:tcW w:type="dxa" w:w="7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RQ2</w:t>
            </w:r>
          </w:p>
        </w:tc>
        <w:tc>
          <w:tcPr>
            <w:tcW w:type="dxa" w:w="66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Characterise monthly borrowing demand to support proactive stock and staffing planning.</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RQ3</w:t>
            </w:r>
          </w:p>
        </w:tc>
        <w:tc>
          <w:tcPr>
            <w:tcW w:type="dxa" w:w="6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Profile students with the highest cumulative fines and quantify their share of total fine revenue.</w:t>
            </w:r>
          </w:p>
        </w:tc>
      </w:tr>
      <w:tr>
        <w:tc>
          <w:tcPr>
            <w:tcW w:type="dxa" w:w="7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RQ4</w:t>
            </w:r>
          </w:p>
        </w:tc>
        <w:tc>
          <w:tcPr>
            <w:tcW w:type="dxa" w:w="66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Develop and evaluate a binary classifier to predict fine-prone students prior to a fine being incurred.</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RQ5</w:t>
            </w:r>
          </w:p>
        </w:tc>
        <w:tc>
          <w:tcPr>
            <w:tcW w:type="dxa" w:w="6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Assess whether the uniform 14-day loan period is equitable across all book genres.</w:t>
            </w:r>
          </w:p>
        </w:tc>
      </w:tr>
      <w:tr>
        <w:tc>
          <w:tcPr>
            <w:tcW w:type="dxa" w:w="7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RQ6</w:t>
            </w:r>
          </w:p>
        </w:tc>
        <w:tc>
          <w:tcPr>
            <w:tcW w:type="dxa" w:w="66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Quantify the statistical association between borrowing frequency and fine accumulation at the student level.</w:t>
            </w:r>
          </w:p>
        </w:tc>
      </w:tr>
    </w:tbl>
    <w:p>
      <w:pPr>
        <w:spacing w:after="200"/>
      </w:pPr>
      <w:r>
        <w:t xml:space="preserve"/>
      </w:r>
    </w:p>
    <w:p>
      <w:pPr>
        <w:spacing w:after="120" w:before="240"/>
        <w:jc w:val="center"/>
      </w:pPr>
      <w:r>
        <w:rPr>
          <w:rFonts w:ascii="Times New Roman" w:cs="Times New Roman" w:eastAsia="Times New Roman" w:hAnsi="Times New Roman"/>
          <w:b/>
          <w:bCs/>
          <w:caps/>
          <w:sz w:val="22"/>
          <w:szCs w:val="22"/>
        </w:rPr>
        <w:t xml:space="preserve">IV. Methodology and Dataset</w:t>
      </w:r>
    </w:p>
    <w:p>
      <w:pPr>
        <w:spacing w:after="80" w:before="160"/>
      </w:pPr>
      <w:r>
        <w:rPr>
          <w:rFonts w:ascii="Times New Roman" w:cs="Times New Roman" w:eastAsia="Times New Roman" w:hAnsi="Times New Roman"/>
          <w:b/>
          <w:bCs/>
          <w:i/>
          <w:iCs/>
          <w:sz w:val="20"/>
          <w:szCs w:val="20"/>
        </w:rPr>
        <w:t xml:space="preserve">A. Dataset Description</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The dataset comprises 1,042 library transaction records generated for 198 unique students across 30 book titles over January–December 2023. Student identifiers span STU001–STU200, with two codes absent from the transaction log, yielding 198 active students. The eleven dataset attributes are described in TABLE I.</w:t>
      </w:r>
    </w:p>
    <w:p>
      <w:pPr>
        <w:spacing w:after="80" w:before="120"/>
        <w:jc w:val="center"/>
      </w:pPr>
      <w:r>
        <w:rPr>
          <w:rFonts w:ascii="Times New Roman" w:cs="Times New Roman" w:eastAsia="Times New Roman" w:hAnsi="Times New Roman"/>
          <w:b/>
          <w:bCs/>
          <w:caps/>
          <w:sz w:val="18"/>
          <w:szCs w:val="18"/>
        </w:rPr>
        <w:t xml:space="preserve">TABLE I.  Dataset Attributes and Descriptions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000"/>
        <w:gridCol w:w="2060"/>
      </w:tblGrid>
      <w:tr>
        <w:trPr>
          <w:tblHeader/>
        </w:trPr>
        <w:tc>
          <w:tcPr>
            <w:tcW w:type="dxa" w:w="15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Attribute</w:t>
            </w:r>
          </w:p>
        </w:tc>
        <w:tc>
          <w:tcPr>
            <w:tcW w:type="dxa" w:w="28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Description</w:t>
            </w:r>
          </w:p>
        </w:tc>
        <w:tc>
          <w:tcPr>
            <w:tcW w:type="dxa" w:w="10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Type</w:t>
            </w:r>
          </w:p>
        </w:tc>
        <w:tc>
          <w:tcPr>
            <w:tcW w:type="dxa" w:w="20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Range / Example</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Transaction_ID</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Unique identifier per borrowing event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String</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TXN0001–TXN1042</w:t>
            </w:r>
          </w:p>
        </w:tc>
      </w:tr>
      <w:tr>
        <w:tc>
          <w:tcPr>
            <w:tcW w:type="dxa" w:w="15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Student_ID</w:t>
            </w:r>
          </w:p>
        </w:tc>
        <w:tc>
          <w:tcPr>
            <w:tcW w:type="dxa" w:w="28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Anonymised student code (198 active students)</w:t>
            </w:r>
          </w:p>
        </w:tc>
        <w:tc>
          <w:tcPr>
            <w:tcW w:type="dxa" w:w="10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String</w:t>
            </w:r>
          </w:p>
        </w:tc>
        <w:tc>
          <w:tcPr>
            <w:tcW w:type="dxa" w:w="20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STU001–STU200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Book_ID</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Identifier for each of 30 titles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String</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BK01–BK30</w:t>
            </w:r>
          </w:p>
        </w:tc>
      </w:tr>
      <w:tr>
        <w:tc>
          <w:tcPr>
            <w:tcW w:type="dxa" w:w="15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Book_Title</w:t>
            </w:r>
          </w:p>
        </w:tc>
        <w:tc>
          <w:tcPr>
            <w:tcW w:type="dxa" w:w="28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Title of borrowed book</w:t>
            </w:r>
          </w:p>
        </w:tc>
        <w:tc>
          <w:tcPr>
            <w:tcW w:type="dxa" w:w="10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String</w:t>
            </w:r>
          </w:p>
        </w:tc>
        <w:tc>
          <w:tcPr>
            <w:tcW w:type="dxa" w:w="20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Indian History, DBMS, etc.</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Genre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Subject classification</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Category</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Engineering, Science, Fiction, etc.</w:t>
            </w:r>
          </w:p>
        </w:tc>
      </w:tr>
      <w:tr>
        <w:tc>
          <w:tcPr>
            <w:tcW w:type="dxa" w:w="15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Issue_Date</w:t>
            </w:r>
          </w:p>
        </w:tc>
        <w:tc>
          <w:tcPr>
            <w:tcW w:type="dxa" w:w="28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Date of book issuance</w:t>
            </w:r>
          </w:p>
        </w:tc>
        <w:tc>
          <w:tcPr>
            <w:tcW w:type="dxa" w:w="10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Date</w:t>
            </w:r>
          </w:p>
        </w:tc>
        <w:tc>
          <w:tcPr>
            <w:tcW w:type="dxa" w:w="20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Jan–Dec 2023</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Due_Date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Scheduled return date (Issue + 14 days)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Date</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14 days after Issue_Date</w:t>
            </w:r>
          </w:p>
        </w:tc>
      </w:tr>
      <w:tr>
        <w:tc>
          <w:tcPr>
            <w:tcW w:type="dxa" w:w="15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Return_Date</w:t>
            </w:r>
          </w:p>
        </w:tc>
        <w:tc>
          <w:tcPr>
            <w:tcW w:type="dxa" w:w="28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Actual return date (null if unreturned)</w:t>
            </w:r>
          </w:p>
        </w:tc>
        <w:tc>
          <w:tcPr>
            <w:tcW w:type="dxa" w:w="10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Date</w:t>
            </w:r>
          </w:p>
        </w:tc>
        <w:tc>
          <w:tcPr>
            <w:tcW w:type="dxa" w:w="20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Date value or null</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Days_Overdue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Calendar days beyond due date (0 if on time)</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Integer</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0–39 days</w:t>
            </w:r>
          </w:p>
        </w:tc>
      </w:tr>
      <w:tr>
        <w:tc>
          <w:tcPr>
            <w:tcW w:type="dxa" w:w="15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Fine_INR</w:t>
            </w:r>
          </w:p>
        </w:tc>
        <w:tc>
          <w:tcPr>
            <w:tcW w:type="dxa" w:w="28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Fine at INR 2 per overdue day</w:t>
            </w:r>
          </w:p>
        </w:tc>
        <w:tc>
          <w:tcPr>
            <w:tcW w:type="dxa" w:w="10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Float</w:t>
            </w:r>
          </w:p>
        </w:tc>
        <w:tc>
          <w:tcPr>
            <w:tcW w:type="dxa" w:w="20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INR 0–INR 78</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Fine_Paid</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Binary fine payment indicator</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Boolean</w:t>
            </w:r>
          </w:p>
        </w:tc>
        <w:tc>
          <w:tcPr>
            <w:tcW w:type="dxa" w:w="2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Yes / No</w:t>
            </w:r>
          </w:p>
        </w:tc>
      </w:tr>
    </w:tbl>
    <w:p>
      <w:pPr>
        <w:spacing w:after="160"/>
      </w:pPr>
      <w:r>
        <w:t xml:space="preserve"/>
      </w:r>
    </w:p>
    <w:p>
      <w:pPr>
        <w:spacing w:after="80" w:before="160"/>
      </w:pPr>
      <w:r>
        <w:rPr>
          <w:rFonts w:ascii="Times New Roman" w:cs="Times New Roman" w:eastAsia="Times New Roman" w:hAnsi="Times New Roman"/>
          <w:b/>
          <w:bCs/>
          <w:i/>
          <w:iCs/>
          <w:sz w:val="20"/>
          <w:szCs w:val="20"/>
        </w:rPr>
        <w:t xml:space="preserve">B. Pre-Processing</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The following pre-processing steps were applied to the raw dataset prior to analysis: (1) Issue_Date, Due_Date, and Return_Date were parsed from string format to Python datetime objects using pd.to_datetime(). (2) Days_Overdue was derived as max(Return_Date − Due_Date, 0), ensuring early returns are assigned zero overdue days. (3) Days_Borrowed was computed as Return_Date − Issue_Date to capture actual holding duration, independent of the due date. (4) Fine_INR was cross-validated against Days_Overdue × 2 (INR 2 per overdue day) to detect inconsistencies; none were identified. (5) Records with null Return_Date were flagged and assigned an estimated overdue value for modelling purposes. No duplicate Transaction_IDs or date anomalies were detected.</w:t>
      </w:r>
    </w:p>
    <w:p>
      <w:pPr>
        <w:spacing w:after="80" w:before="160"/>
      </w:pPr>
      <w:r>
        <w:rPr>
          <w:rFonts w:ascii="Times New Roman" w:cs="Times New Roman" w:eastAsia="Times New Roman" w:hAnsi="Times New Roman"/>
          <w:b/>
          <w:bCs/>
          <w:i/>
          <w:iCs/>
          <w:sz w:val="20"/>
          <w:szCs w:val="20"/>
        </w:rPr>
        <w:t xml:space="preserve">C. Analytical Methods</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TABLE II maps each research question to its analytical technique and principal variables. For the machine learning classification task (RQ4), the feature set is defined as follows: Prior_Days_Overdue is the student's mean overdue duration across all prior transactions; Borrow_Frequency is the total number of transactions up to and including the current event; Genre_Diversity is the count of distinct genres previously borrowed; and Semester_Period is a binary indicator encoded as 1 for January and October (identified as peak academic months in RQ2) and 0 otherwise. The binary target variable, High_Risk_Flag, was set to 1 if a student's total annual fine exceeded the dataset median and 0 otherwise. Stratified splitting preserved class balance across training and test partitions.</w:t>
      </w:r>
    </w:p>
    <w:p>
      <w:pPr>
        <w:spacing w:after="80" w:before="120"/>
        <w:jc w:val="center"/>
      </w:pPr>
      <w:r>
        <w:rPr>
          <w:rFonts w:ascii="Times New Roman" w:cs="Times New Roman" w:eastAsia="Times New Roman" w:hAnsi="Times New Roman"/>
          <w:b/>
          <w:bCs/>
          <w:caps/>
          <w:sz w:val="18"/>
          <w:szCs w:val="18"/>
        </w:rPr>
        <w:t xml:space="preserve">TABLE II.  Research Questions, Analytical Methods, and Variables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60"/>
      </w:tblGrid>
      <w:tr>
        <w:trPr>
          <w:tblHeader/>
        </w:trPr>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RQ</w:t>
            </w:r>
          </w:p>
        </w:tc>
        <w:tc>
          <w:tcPr>
            <w:tcW w:type="dxa" w:w="26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Method</w:t>
            </w:r>
          </w:p>
        </w:tc>
        <w:tc>
          <w:tcPr>
            <w:tcW w:type="dxa" w:w="40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Variables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RQ1</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Frequency count (value_counts()) + descending bar chart</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Book_Title, transaction count</w:t>
            </w:r>
          </w:p>
        </w:tc>
      </w:tr>
      <w:tr>
        <w:tc>
          <w:tcPr>
            <w:tcW w:type="dxa" w:w="7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RQ2</w:t>
            </w:r>
          </w:p>
        </w:tc>
        <w:tc>
          <w:tcPr>
            <w:tcW w:type="dxa" w:w="26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Monthly aggregation (groupby on Issue_Date month) + line plot</w:t>
            </w:r>
          </w:p>
        </w:tc>
        <w:tc>
          <w:tcPr>
            <w:tcW w:type="dxa" w:w="40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Issue_Date, monthly transaction volume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RQ3</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Per-student fine aggregation (groupby sum on Fine_INR) + heatmap</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Student_ID, Fine_INR, Days_Overdue</w:t>
            </w:r>
          </w:p>
        </w:tc>
      </w:tr>
      <w:tr>
        <w:tc>
          <w:tcPr>
            <w:tcW w:type="dxa" w:w="7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RQ4</w:t>
            </w:r>
          </w:p>
        </w:tc>
        <w:tc>
          <w:tcPr>
            <w:tcW w:type="dxa" w:w="26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Binary classification: Logistic Regression, Decision Tree, Random Forest, Naive Bayes; 80/20 stratified split; target: High_Risk_Flag</w:t>
            </w:r>
          </w:p>
        </w:tc>
        <w:tc>
          <w:tcPr>
            <w:tcW w:type="dxa" w:w="40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Prior_Days_Overdue, Borrow_Frequency, Genre_Diversity, Semester_Period</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RQ5</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Per-genre mean and median of Days_Borrowed + box plot</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Genre, Days_Borrowed</w:t>
            </w:r>
          </w:p>
        </w:tc>
      </w:tr>
      <w:tr>
        <w:tc>
          <w:tcPr>
            <w:tcW w:type="dxa" w:w="7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RQ6</w:t>
            </w:r>
          </w:p>
        </w:tc>
        <w:tc>
          <w:tcPr>
            <w:tcW w:type="dxa" w:w="26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Pearson product-moment correlation + scatter plot with regression line</w:t>
            </w:r>
          </w:p>
        </w:tc>
        <w:tc>
          <w:tcPr>
            <w:tcW w:type="dxa" w:w="40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Borrow_Frequency, Total_Fine_INR</w:t>
            </w:r>
          </w:p>
        </w:tc>
      </w:tr>
    </w:tbl>
    <w:p>
      <w:pPr>
        <w:spacing w:after="160"/>
      </w:pPr>
      <w:r>
        <w:t xml:space="preserve"/>
      </w:r>
    </w:p>
    <w:p>
      <w:pPr>
        <w:spacing w:after="120" w:before="240"/>
        <w:jc w:val="center"/>
      </w:pPr>
      <w:r>
        <w:rPr>
          <w:rFonts w:ascii="Times New Roman" w:cs="Times New Roman" w:eastAsia="Times New Roman" w:hAnsi="Times New Roman"/>
          <w:b/>
          <w:bCs/>
          <w:caps/>
          <w:sz w:val="22"/>
          <w:szCs w:val="22"/>
        </w:rPr>
        <w:t xml:space="preserve">V. Analysis and Findings</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TABLE III provides a consolidated summary of results and evidence-based recommendations for all six research questions. Subsections A–F discuss each finding in detail. All quantitative results reported here are consistent with those stated in the Abstract and recapitulated in Section VIII.</w:t>
      </w:r>
    </w:p>
    <w:p>
      <w:pPr>
        <w:spacing w:after="80" w:before="120"/>
        <w:jc w:val="center"/>
      </w:pPr>
      <w:r>
        <w:rPr>
          <w:rFonts w:ascii="Times New Roman" w:cs="Times New Roman" w:eastAsia="Times New Roman" w:hAnsi="Times New Roman"/>
          <w:b/>
          <w:bCs/>
          <w:caps/>
          <w:sz w:val="18"/>
          <w:szCs w:val="18"/>
        </w:rPr>
        <w:t xml:space="preserve">TABLE III.  Summary of Results and Recommendations (RQ1–RQ6)</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460"/>
      </w:tblGrid>
      <w:tr>
        <w:trPr>
          <w:tblHeader/>
        </w:trPr>
        <w:tc>
          <w:tcPr>
            <w:tcW w:type="dxa" w:w="7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RQ</w:t>
            </w:r>
          </w:p>
        </w:tc>
        <w:tc>
          <w:tcPr>
            <w:tcW w:type="dxa" w:w="32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Key Finding</w:t>
            </w:r>
          </w:p>
        </w:tc>
        <w:tc>
          <w:tcPr>
            <w:tcW w:type="dxa" w:w="34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Recommendation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RQ1</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Indian History, Aptitude, and DBMS: 44 transactions each; top-5 titles: 207 of 1,042 transactions (19.9%)</w:t>
            </w:r>
          </w:p>
        </w:tc>
        <w:tc>
          <w:tcPr>
            <w:tcW w:type="dxa" w:w="3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Maintain surplus copies of top-5 titles; implement per-title availability monitoring</w:t>
            </w:r>
          </w:p>
        </w:tc>
      </w:tr>
      <w:tr>
        <w:tc>
          <w:tcPr>
            <w:tcW w:type="dxa" w:w="7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RQ2</w:t>
            </w:r>
          </w:p>
        </w:tc>
        <w:tc>
          <w:tcPr>
            <w:tcW w:type="dxa" w:w="32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October (135 transactions, +73.1% above median) and January (130 transactions, +66.7% above median of 78)</w:t>
            </w:r>
          </w:p>
        </w:tc>
        <w:tc>
          <w:tcPr>
            <w:tcW w:type="dxa" w:w="34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Pre-stock high-demand titles and schedule additional staffing prior to January and October</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RQ3</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Top 10% of students (~20) generated 34.5% of fine revenue (INR 1,600 / INR 4,644); 470 fined transactions (45.1%)</w:t>
            </w:r>
          </w:p>
        </w:tc>
        <w:tc>
          <w:tcPr>
            <w:tcW w:type="dxa" w:w="3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Automated reminders at Day 7 and Day 12; consider first-offence waiver for compliance incentive</w:t>
            </w:r>
          </w:p>
        </w:tc>
      </w:tr>
      <w:tr>
        <w:tc>
          <w:tcPr>
            <w:tcW w:type="dxa" w:w="7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RQ4</w:t>
            </w:r>
          </w:p>
        </w:tc>
        <w:tc>
          <w:tcPr>
            <w:tcW w:type="dxa" w:w="32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Logistic Regression: 85% accuracy, F1 = 0.84; key predictors: Prior_Days_Overdue and Borrow_Frequency</w:t>
            </w:r>
          </w:p>
        </w:tc>
        <w:tc>
          <w:tcPr>
            <w:tcW w:type="dxa" w:w="34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Embed classifier in issuance workflow to flag high-risk borrowers at point of issuance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RQ5</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Engineering: mean 17.2 days (median 17); Science: mean 16.7 days (median 16); both exceed 14-day limit; Fiction: mean 8.5 days</w:t>
            </w:r>
          </w:p>
        </w:tc>
        <w:tc>
          <w:tcPr>
            <w:tcW w:type="dxa" w:w="3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Tiered loan policy: 21 days for Engineering/Science; 14 days for Fiction and General Literature</w:t>
            </w:r>
          </w:p>
        </w:tc>
      </w:tr>
      <w:tr>
        <w:tc>
          <w:tcPr>
            <w:tcW w:type="dxa" w:w="7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RQ6</w:t>
            </w:r>
          </w:p>
        </w:tc>
        <w:tc>
          <w:tcPr>
            <w:tcW w:type="dxa" w:w="32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Pearson r = 0.34 (p &lt; 0.05): statistically significant moderate positive correlation</w:t>
            </w:r>
          </w:p>
        </w:tc>
        <w:tc>
          <w:tcPr>
            <w:tcW w:type="dxa" w:w="34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Provide auto-renewal and proactive reminders to high-frequency borrowers</w:t>
            </w:r>
          </w:p>
        </w:tc>
      </w:tr>
    </w:tbl>
    <w:p>
      <w:pPr>
        <w:spacing w:after="160"/>
      </w:pPr>
      <w:r>
        <w:t xml:space="preserve"/>
      </w:r>
    </w:p>
    <w:p>
      <w:pPr>
        <w:spacing w:after="80" w:before="160"/>
      </w:pPr>
      <w:r>
        <w:rPr>
          <w:rFonts w:ascii="Times New Roman" w:cs="Times New Roman" w:eastAsia="Times New Roman" w:hAnsi="Times New Roman"/>
          <w:b/>
          <w:bCs/>
          <w:i/>
          <w:iCs/>
          <w:sz w:val="20"/>
          <w:szCs w:val="20"/>
        </w:rPr>
        <w:t xml:space="preserve">A.  RQ1 — Book Borrowing Frequency</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Frequency analysis of the Book_Title field confirms that Indian History, Aptitude, and DBMS are the three most borrowed titles, each recording 44 transactions, followed by Operating Systems (41) and Data Science Guide (40). Collectively, the top-five titles account for 207 of 1,042 total transactions (19.9%), reflecting the concentration of demand around a small set of high-utility resources consistent with prior findings on library circulation distributions [2]. At the lower end, Machine Learning Intro (28 transactions), Engineering Maths Vol II and Poetry Collection (27 each), Cyber Security (27), and Deep Learning (29) represent lighter specialised or elective content and warrant acquisition review.</w:t>
      </w:r>
    </w:p>
    <w:p>
      <w:pPr>
        <w:spacing w:after="80" w:before="160"/>
      </w:pPr>
      <w:r>
        <w:rPr>
          <w:rFonts w:ascii="Times New Roman" w:cs="Times New Roman" w:eastAsia="Times New Roman" w:hAnsi="Times New Roman"/>
          <w:b/>
          <w:bCs/>
          <w:i/>
          <w:iCs/>
          <w:sz w:val="20"/>
          <w:szCs w:val="20"/>
        </w:rPr>
        <w:t xml:space="preserve">B.  RQ2 — Monthly Demand Patterns</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Monthly aggregation reveals two statistically prominent demand peaks: October (135 transactions) and January (130 transactions), representing increases of 73.1% and 66.7%, respectively, above the annual median of 78 transactions. The October peak corresponds to pre-examination revision activity; the January peak aligns with semester commencement. The summer period (June–July: 78 and 69 transactions) records the lowest borrowing activity, consistent with reduced campus attendance. These two periods define the operational calendar for pre-stocking and staffing interventions.</w:t>
      </w:r>
    </w:p>
    <w:p>
      <w:pPr>
        <w:spacing w:after="80" w:before="160"/>
      </w:pPr>
      <w:r>
        <w:rPr>
          <w:rFonts w:ascii="Times New Roman" w:cs="Times New Roman" w:eastAsia="Times New Roman" w:hAnsi="Times New Roman"/>
          <w:b/>
          <w:bCs/>
          <w:i/>
          <w:iCs/>
          <w:sz w:val="20"/>
          <w:szCs w:val="20"/>
        </w:rPr>
        <w:t xml:space="preserve">C.  RQ3 — Fine Distribution and High-Fine Students</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Per-student fine aggregation reveals that 470 of 1,042 transactions (45.1%) incurred a fine, generating INR 4,644 in total fine revenue across the 12-month period. The average overdue duration among fined transactions was 4.9 days, with a maximum of 39 days. Critically, the top 10% of students by cumulative fine (~20 students) were responsible for INR 1,600, representing 34.5% of total fine revenue — a concentration pattern that identifies targeted automated reminders as the highest-impact and lowest-cost intervention. Of the 470 fined transactions, 447 (95.1%) were recorded as paid, leaving 23 (4.9%) outstanding.</w:t>
      </w:r>
    </w:p>
    <w:p>
      <w:pPr>
        <w:spacing w:after="80" w:before="160"/>
      </w:pPr>
      <w:r>
        <w:rPr>
          <w:rFonts w:ascii="Times New Roman" w:cs="Times New Roman" w:eastAsia="Times New Roman" w:hAnsi="Times New Roman"/>
          <w:b/>
          <w:bCs/>
          <w:i/>
          <w:iCs/>
          <w:sz w:val="20"/>
          <w:szCs w:val="20"/>
        </w:rPr>
        <w:t xml:space="preserve">D.  RQ4 — Fine Risk Prediction</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A binary classification task was formulated with High_Risk_Flag as the target variable. Four classifiers were trained on 80% of the student-level dataset and evaluated on the remaining 20% using stratified splits to preserve class balance. Logistic Regression achieves the highest performance: 85% accuracy and F1 = 0.84. The two most influential predictors, as determined by coefficient magnitude, are Prior_Days_Overdue and Borrow_Frequency — a result consistent with the moderate positive correlation reported in RQ6. Full classifier comparison results appear in Section VI.</w:t>
      </w:r>
    </w:p>
    <w:p>
      <w:pPr>
        <w:spacing w:after="80" w:before="160"/>
      </w:pPr>
      <w:r>
        <w:rPr>
          <w:rFonts w:ascii="Times New Roman" w:cs="Times New Roman" w:eastAsia="Times New Roman" w:hAnsi="Times New Roman"/>
          <w:b/>
          <w:bCs/>
          <w:i/>
          <w:iCs/>
          <w:sz w:val="20"/>
          <w:szCs w:val="20"/>
        </w:rPr>
        <w:t xml:space="preserve">E.  RQ5 — Genre-Specific Loan Duration and the Case for a Tiered Policy</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Analysis of Days_Borrowed disaggregated by Genre reveals a systematic and policy-critical mismatch between the uniform 14-day loan period and actual holding behaviour for technical genres. Engineering books are retained for a mean of 17.2 days (median: 17 days); Science books for a mean of 16.7 days (median: 16 days). Both genres exceed the 14-day limit on average — not as a compliance failure, but because the prescribed period is structurally insufficient for the reading demands of dense technical material. This distinction is analytically important: the fines incurred by these students arise from policy design, not behavioural negligence.</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Fiction books, by contrast, are held for a mean of only 8.5 days (median: 9 days), representing substantial unused loan headroom. General Literature (mean: 12.9 days) and Humanities (mean: 13.1 days) average near but within the threshold. These data compel a single, logically inescapable conclusion: the uniform 14-day policy is inequitable across genres. A tiered loan period — 21 days for Engineering and Science titles, 14 days for Fiction and General Literature — eliminates structurally imposed fines while preserving accountability for genuinely late returns.</w:t>
      </w:r>
    </w:p>
    <w:p>
      <w:pPr>
        <w:spacing w:after="80" w:before="160"/>
      </w:pPr>
      <w:r>
        <w:rPr>
          <w:rFonts w:ascii="Times New Roman" w:cs="Times New Roman" w:eastAsia="Times New Roman" w:hAnsi="Times New Roman"/>
          <w:b/>
          <w:bCs/>
          <w:i/>
          <w:iCs/>
          <w:sz w:val="20"/>
          <w:szCs w:val="20"/>
        </w:rPr>
        <w:t xml:space="preserve">F.  RQ6 — Borrowing Frequency and Fine Accumulation</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Pearson correlation analysis of per-student borrowing frequency against total annual fine yields r = 0.34 (p &lt; 0.05), confirming a statistically significant moderate positive association. The relationship is mechanistically interpretable: students with more borrowing transactions face a higher aggregate probability of at least one overdue event per year, even in the absence of elevated per-transaction overdue rates. This finding reframes the risk profile of high-frequency borrowers — the library's most engaged users — and argues against standard penalty enforcement. Priority access to auto-renewal and proactive reminders constitutes the appropriate policy response.</w:t>
      </w:r>
    </w:p>
    <w:p>
      <w:pPr>
        <w:spacing w:after="120" w:before="240"/>
        <w:jc w:val="center"/>
      </w:pPr>
      <w:r>
        <w:rPr>
          <w:rFonts w:ascii="Times New Roman" w:cs="Times New Roman" w:eastAsia="Times New Roman" w:hAnsi="Times New Roman"/>
          <w:b/>
          <w:bCs/>
          <w:caps/>
          <w:sz w:val="22"/>
          <w:szCs w:val="22"/>
        </w:rPr>
        <w:t xml:space="preserve">VI. Machine Learning Model Comparison</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TABLE IV reports accuracy and F1-score for all four classifiers trained on an identical 80/20 stratified train-test split with the feature set: Prior_Days_Overdue, Borrow_Frequency, Genre_Diversity, and Semester_Period.</w:t>
      </w:r>
    </w:p>
    <w:p>
      <w:pPr>
        <w:spacing w:after="80" w:before="120"/>
        <w:jc w:val="center"/>
      </w:pPr>
      <w:r>
        <w:rPr>
          <w:rFonts w:ascii="Times New Roman" w:cs="Times New Roman" w:eastAsia="Times New Roman" w:hAnsi="Times New Roman"/>
          <w:b/>
          <w:bCs/>
          <w:caps/>
          <w:sz w:val="18"/>
          <w:szCs w:val="18"/>
        </w:rPr>
        <w:t xml:space="preserve">TABLE IV.  Classification Model Performance for Fine Risk Prediction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360"/>
        <w:gridCol w:w="2600"/>
      </w:tblGrid>
      <w:tr>
        <w:trPr>
          <w:tblHeader/>
        </w:trPr>
        <w:tc>
          <w:tcPr>
            <w:tcW w:type="dxa" w:w="20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Model</w:t>
            </w:r>
          </w:p>
        </w:tc>
        <w:tc>
          <w:tcPr>
            <w:tcW w:type="dxa" w:w="14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Accuracy</w:t>
            </w:r>
          </w:p>
        </w:tc>
        <w:tc>
          <w:tcPr>
            <w:tcW w:type="dxa" w:w="13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F1-Score</w:t>
            </w:r>
          </w:p>
        </w:tc>
        <w:tc>
          <w:tcPr>
            <w:tcW w:type="dxa" w:w="26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Notes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Logistic Regression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85%</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0.84</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Best overall. Interpretable coefficients; recommended for operational deployment.</w:t>
            </w:r>
          </w:p>
        </w:tc>
      </w:tr>
      <w:tr>
        <w:tc>
          <w:tcPr>
            <w:tcW w:type="dxa" w:w="20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Random Forest</w:t>
            </w:r>
          </w:p>
        </w:tc>
        <w:tc>
          <w:tcPr>
            <w:tcW w:type="dxa" w:w="14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83%</w:t>
            </w:r>
          </w:p>
        </w:tc>
        <w:tc>
          <w:tcPr>
            <w:tcW w:type="dxa" w:w="13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0.82</w:t>
            </w:r>
          </w:p>
        </w:tc>
        <w:tc>
          <w:tcPr>
            <w:tcW w:type="dxa" w:w="26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Ensemble method; marginal accuracy gain over single tree at higher computational cost.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Decision Tree</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81%</w:t>
            </w:r>
          </w:p>
        </w:tc>
        <w:tc>
          <w:tcPr>
            <w:tcW w:type="dxa" w:w="1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0.80</w:t>
            </w:r>
          </w:p>
        </w:tc>
        <w:tc>
          <w:tcPr>
            <w:tcW w:type="dxa" w:w="2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Produces auditable if-then rules; suitable for communicating decisions to non-technical staff.</w:t>
            </w:r>
          </w:p>
        </w:tc>
      </w:tr>
      <w:tr>
        <w:tc>
          <w:tcPr>
            <w:tcW w:type="dxa" w:w="20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Naive Bayes</w:t>
            </w:r>
          </w:p>
        </w:tc>
        <w:tc>
          <w:tcPr>
            <w:tcW w:type="dxa" w:w="14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74%</w:t>
            </w:r>
          </w:p>
        </w:tc>
        <w:tc>
          <w:tcPr>
            <w:tcW w:type="dxa" w:w="136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0.73</w:t>
            </w:r>
          </w:p>
        </w:tc>
        <w:tc>
          <w:tcPr>
            <w:tcW w:type="dxa" w:w="26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Weakest result; feature independence assumption violated by correlated predictors (Prior_Days_Overdue, Borrow_Frequency).</w:t>
            </w:r>
          </w:p>
        </w:tc>
      </w:tr>
    </w:tbl>
    <w:p>
      <w:pPr>
        <w:spacing w:after="120"/>
      </w:pPr>
      <w:r>
        <w:t xml:space="preserve"/>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Logistic Regression is recommended for production deployment for two reasons: it achieves the highest accuracy and F1-score in this evaluation, and its coefficients directly quantify each feature's contribution to predicted fine risk, enabling administrators to understand, audit, and defend classification decisions. The Decision Tree provides a viable secondary option where rule transparency is an operational requirement. Naive Bayes underperforms because Prior_Days_Overdue and Borrow_Frequency are statistically dependent, violating the conditional independence assumption that underpins the classifier.</w:t>
      </w:r>
    </w:p>
    <w:p>
      <w:pPr>
        <w:spacing w:after="120" w:before="240"/>
        <w:jc w:val="center"/>
      </w:pPr>
      <w:r>
        <w:rPr>
          <w:rFonts w:ascii="Times New Roman" w:cs="Times New Roman" w:eastAsia="Times New Roman" w:hAnsi="Times New Roman"/>
          <w:b/>
          <w:bCs/>
          <w:caps/>
          <w:sz w:val="22"/>
          <w:szCs w:val="22"/>
        </w:rPr>
        <w:t xml:space="preserve">VII. Future Work</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Several extensions would increase the operational impact and technical scope of the present system. TABLE V summarises five proposed enhancements, their technical implementation pathways, and their expected benefits.</w:t>
      </w:r>
    </w:p>
    <w:p>
      <w:pPr>
        <w:spacing w:after="80" w:before="120"/>
        <w:jc w:val="center"/>
      </w:pPr>
      <w:r>
        <w:rPr>
          <w:rFonts w:ascii="Times New Roman" w:cs="Times New Roman" w:eastAsia="Times New Roman" w:hAnsi="Times New Roman"/>
          <w:b/>
          <w:bCs/>
          <w:caps/>
          <w:sz w:val="18"/>
          <w:szCs w:val="18"/>
        </w:rPr>
        <w:t xml:space="preserve">TABLE V.  Proposed System Enhancements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2480"/>
        <w:gridCol w:w="3080"/>
      </w:tblGrid>
      <w:tr>
        <w:trPr>
          <w:tblHeader/>
        </w:trPr>
        <w:tc>
          <w:tcPr>
            <w:tcW w:type="dxa" w:w="18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Enhancement</w:t>
            </w:r>
          </w:p>
        </w:tc>
        <w:tc>
          <w:tcPr>
            <w:tcW w:type="dxa" w:w="248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Technical Approach</w:t>
            </w:r>
          </w:p>
        </w:tc>
        <w:tc>
          <w:tcPr>
            <w:tcW w:type="dxa" w:w="308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Expected Benefit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Automated Fine Reminders</w:t>
            </w:r>
          </w:p>
        </w:tc>
        <w:tc>
          <w:tcPr>
            <w:tcW w:type="dxa" w:w="24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Python notification script (smtplib / Twilio) triggered at Day 7 and Day 12 of each active loan</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Reduces overdue incidence through proactive notification; deployable without ML infrastructure</w:t>
            </w:r>
          </w:p>
        </w:tc>
      </w:tr>
      <w:tr>
        <w:tc>
          <w:tcPr>
            <w:tcW w:type="dxa" w:w="18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Sequential Risk Model (LSTM)</w:t>
            </w:r>
          </w:p>
        </w:tc>
        <w:tc>
          <w:tcPr>
            <w:tcW w:type="dxa" w:w="248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Long Short-Term Memory network (Keras/TensorFlow) trained on per-student transaction sequences ordered by date</w:t>
            </w:r>
          </w:p>
        </w:tc>
        <w:tc>
          <w:tcPr>
            <w:tcW w:type="dxa" w:w="308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Captures longitudinal borrowing patterns; expected to improve prediction accuracy over feature-aggregated models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Book Recommendation Engine</w:t>
            </w:r>
          </w:p>
        </w:tc>
        <w:tc>
          <w:tcPr>
            <w:tcW w:type="dxa" w:w="24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Collaborative filtering using the Surprise library or implicit-feedback matrix factorisation</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Personalises book suggestions; increases resource utilisation and student engagement</w:t>
            </w:r>
          </w:p>
        </w:tc>
      </w:tr>
      <w:tr>
        <w:tc>
          <w:tcPr>
            <w:tcW w:type="dxa" w:w="180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Real-Time Operations Dashboard</w:t>
            </w:r>
          </w:p>
        </w:tc>
        <w:tc>
          <w:tcPr>
            <w:tcW w:type="dxa" w:w="248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Plotly Dash or Streamlit application connected to a live transaction database</w:t>
            </w:r>
          </w:p>
        </w:tc>
        <w:tc>
          <w:tcPr>
            <w:tcW w:type="dxa" w:w="3080"/>
            <w:tcBorders>
              <w:top w:val="single" w:color="AAAAAA" w:sz="1"/>
              <w:left w:val="single" w:color="AAAAAA" w:sz="1"/>
              <w:bottom w:val="single" w:color="AAAAAA" w:sz="1"/>
              <w:right w:val="single" w:color="AAAAAA" w:sz="1"/>
            </w:tcBorders>
            <w:shd w:fill="F4F6FA"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Provides librarians with real-time visibility into overdue rates, fine revenue, and demand forecasts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Tamper-Resistant Fine Ledger</w:t>
            </w:r>
          </w:p>
        </w:tc>
        <w:tc>
          <w:tcPr>
            <w:tcW w:type="dxa" w:w="24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Append-only hash-chain or permissioned blockchain (Hyperledger Fabric) for fine records</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Ensures auditability and eliminates disputes arising from manual record modification</w:t>
            </w:r>
          </w:p>
        </w:tc>
      </w:tr>
    </w:tbl>
    <w:p>
      <w:pPr>
        <w:spacing w:after="120"/>
      </w:pPr>
      <w:r>
        <w:t xml:space="preserve"/>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The automated reminder system offers the highest near-term return on investment: it requires no machine learning expertise, deploys with standard Python libraries, and directly addresses the most actionable finding of this study. The LSTM-based sequential risk model represents the most technically significant long-term direction but requires multi-year longitudinal borrowing histories per student to realise its predictive potential.</w:t>
      </w:r>
    </w:p>
    <w:p>
      <w:pPr>
        <w:spacing w:after="120" w:before="240"/>
        <w:jc w:val="center"/>
      </w:pPr>
      <w:r>
        <w:rPr>
          <w:rFonts w:ascii="Times New Roman" w:cs="Times New Roman" w:eastAsia="Times New Roman" w:hAnsi="Times New Roman"/>
          <w:b/>
          <w:bCs/>
          <w:caps/>
          <w:sz w:val="22"/>
          <w:szCs w:val="22"/>
        </w:rPr>
        <w:t xml:space="preserve">VIII. Key Findings</w:t>
      </w:r>
    </w:p>
    <w:p>
      <w:pPr>
        <w:spacing w:after="100" w:before="0" w:line="276"/>
        <w:jc w:val="both"/>
      </w:pPr>
      <w:r>
        <w:rPr>
          <w:rFonts w:ascii="Times New Roman" w:cs="Times New Roman" w:eastAsia="Times New Roman" w:hAnsi="Times New Roman"/>
          <w:b/>
          <w:bCs/>
          <w:i w:val="false"/>
          <w:iCs w:val="false"/>
          <w:sz w:val="20"/>
          <w:szCs w:val="20"/>
        </w:rPr>
        <w:t xml:space="preserve">[F1]  </w:t>
      </w:r>
      <w:r>
        <w:rPr>
          <w:rFonts w:ascii="Times New Roman" w:cs="Times New Roman" w:eastAsia="Times New Roman" w:hAnsi="Times New Roman"/>
          <w:b w:val="false"/>
          <w:bCs w:val="false"/>
          <w:i w:val="false"/>
          <w:iCs w:val="false"/>
          <w:sz w:val="20"/>
          <w:szCs w:val="20"/>
        </w:rPr>
        <w:t xml:space="preserve">Indian History, Aptitude, and DBMS are the three most borrowed titles (44 transactions each); the top-five titles collectively represent 19.9% of all 1,042 transactions. Acquisition investment should be concentrated on these titles to prevent stock depletion during peak periods.</w:t>
      </w:r>
    </w:p>
    <w:p>
      <w:pPr>
        <w:spacing w:after="100" w:before="0" w:line="276"/>
        <w:jc w:val="both"/>
      </w:pPr>
      <w:r>
        <w:rPr>
          <w:rFonts w:ascii="Times New Roman" w:cs="Times New Roman" w:eastAsia="Times New Roman" w:hAnsi="Times New Roman"/>
          <w:b/>
          <w:bCs/>
          <w:i w:val="false"/>
          <w:iCs w:val="false"/>
          <w:sz w:val="20"/>
          <w:szCs w:val="20"/>
        </w:rPr>
        <w:t xml:space="preserve">[F2]  </w:t>
      </w:r>
      <w:r>
        <w:rPr>
          <w:rFonts w:ascii="Times New Roman" w:cs="Times New Roman" w:eastAsia="Times New Roman" w:hAnsi="Times New Roman"/>
          <w:b w:val="false"/>
          <w:bCs w:val="false"/>
          <w:i w:val="false"/>
          <w:iCs w:val="false"/>
          <w:sz w:val="20"/>
          <w:szCs w:val="20"/>
        </w:rPr>
        <w:t xml:space="preserve">October (135 transactions, +73.1% above median) and January (130 transactions, +66.7% above the annual median of 78) are the peak demand months. Pre-stocking and staffing plans must be synchronised to these periods.</w:t>
      </w:r>
    </w:p>
    <w:p>
      <w:pPr>
        <w:spacing w:after="100" w:before="0" w:line="276"/>
        <w:jc w:val="both"/>
      </w:pPr>
      <w:r>
        <w:rPr>
          <w:rFonts w:ascii="Times New Roman" w:cs="Times New Roman" w:eastAsia="Times New Roman" w:hAnsi="Times New Roman"/>
          <w:b/>
          <w:bCs/>
          <w:i w:val="false"/>
          <w:iCs w:val="false"/>
          <w:sz w:val="20"/>
          <w:szCs w:val="20"/>
        </w:rPr>
        <w:t xml:space="preserve">[F3]  </w:t>
      </w:r>
      <w:r>
        <w:rPr>
          <w:rFonts w:ascii="Times New Roman" w:cs="Times New Roman" w:eastAsia="Times New Roman" w:hAnsi="Times New Roman"/>
          <w:b w:val="false"/>
          <w:bCs w:val="false"/>
          <w:i w:val="false"/>
          <w:iCs w:val="false"/>
          <w:sz w:val="20"/>
          <w:szCs w:val="20"/>
        </w:rPr>
        <w:t xml:space="preserve">The top 10% of students by fine amount (~20 students) generated 34.5% of total fine revenue (INR 1,600 of INR 4,644). Targeted automated reminders for this cohort represent the highest-impact, lowest-cost administrative intervention.</w:t>
      </w:r>
    </w:p>
    <w:p>
      <w:pPr>
        <w:spacing w:after="100" w:before="0" w:line="276"/>
        <w:jc w:val="both"/>
      </w:pPr>
      <w:r>
        <w:rPr>
          <w:rFonts w:ascii="Times New Roman" w:cs="Times New Roman" w:eastAsia="Times New Roman" w:hAnsi="Times New Roman"/>
          <w:b/>
          <w:bCs/>
          <w:i w:val="false"/>
          <w:iCs w:val="false"/>
          <w:sz w:val="20"/>
          <w:szCs w:val="20"/>
        </w:rPr>
        <w:t xml:space="preserve">[F4]  </w:t>
      </w:r>
      <w:r>
        <w:rPr>
          <w:rFonts w:ascii="Times New Roman" w:cs="Times New Roman" w:eastAsia="Times New Roman" w:hAnsi="Times New Roman"/>
          <w:b w:val="false"/>
          <w:bCs w:val="false"/>
          <w:i w:val="false"/>
          <w:iCs w:val="false"/>
          <w:sz w:val="20"/>
          <w:szCs w:val="20"/>
        </w:rPr>
        <w:t xml:space="preserve">Logistic Regression achieved 85% accuracy (F1 = 0.84) for fine risk prediction using features available at the point of issuance. Integration into the issuance workflow enables proactive intervention before a fine is incurred.</w:t>
      </w:r>
    </w:p>
    <w:p>
      <w:pPr>
        <w:spacing w:after="100" w:before="0" w:line="276"/>
        <w:jc w:val="both"/>
      </w:pPr>
      <w:r>
        <w:rPr>
          <w:rFonts w:ascii="Times New Roman" w:cs="Times New Roman" w:eastAsia="Times New Roman" w:hAnsi="Times New Roman"/>
          <w:b/>
          <w:bCs/>
          <w:i w:val="false"/>
          <w:iCs w:val="false"/>
          <w:sz w:val="20"/>
          <w:szCs w:val="20"/>
        </w:rPr>
        <w:t xml:space="preserve">[F5]  </w:t>
      </w:r>
      <w:r>
        <w:rPr>
          <w:rFonts w:ascii="Times New Roman" w:cs="Times New Roman" w:eastAsia="Times New Roman" w:hAnsi="Times New Roman"/>
          <w:b w:val="false"/>
          <w:bCs w:val="false"/>
          <w:i w:val="false"/>
          <w:iCs w:val="false"/>
          <w:sz w:val="20"/>
          <w:szCs w:val="20"/>
        </w:rPr>
        <w:t xml:space="preserve">Engineering and Science books are held for means of 17.2 and 16.7 days, respectively — systematically exceeding the 14-day limit. A tiered loan policy of 21 days for technical genres and 14 days for others is both warranted and evidence-based.</w:t>
      </w:r>
    </w:p>
    <w:p>
      <w:pPr>
        <w:spacing w:after="200" w:before="0" w:line="276"/>
        <w:jc w:val="both"/>
      </w:pPr>
      <w:r>
        <w:rPr>
          <w:rFonts w:ascii="Times New Roman" w:cs="Times New Roman" w:eastAsia="Times New Roman" w:hAnsi="Times New Roman"/>
          <w:b/>
          <w:bCs/>
          <w:i w:val="false"/>
          <w:iCs w:val="false"/>
          <w:sz w:val="20"/>
          <w:szCs w:val="20"/>
        </w:rPr>
        <w:t xml:space="preserve">[F6]  </w:t>
      </w:r>
      <w:r>
        <w:rPr>
          <w:rFonts w:ascii="Times New Roman" w:cs="Times New Roman" w:eastAsia="Times New Roman" w:hAnsi="Times New Roman"/>
          <w:b w:val="false"/>
          <w:bCs w:val="false"/>
          <w:i w:val="false"/>
          <w:iCs w:val="false"/>
          <w:sz w:val="20"/>
          <w:szCs w:val="20"/>
        </w:rPr>
        <w:t xml:space="preserve">A statistically significant positive correlation of r = 0.34 (p &lt; 0.05) exists between borrowing frequency and total annual fines. High-frequency borrowers should be supported with auto-renewal and proactive reminders rather than subjected to standard penalty enforcement.</w:t>
      </w:r>
    </w:p>
    <w:p>
      <w:pPr>
        <w:spacing w:after="120" w:before="240"/>
        <w:jc w:val="center"/>
      </w:pPr>
      <w:r>
        <w:rPr>
          <w:rFonts w:ascii="Times New Roman" w:cs="Times New Roman" w:eastAsia="Times New Roman" w:hAnsi="Times New Roman"/>
          <w:b/>
          <w:bCs/>
          <w:caps/>
          <w:sz w:val="22"/>
          <w:szCs w:val="22"/>
        </w:rPr>
        <w:t xml:space="preserve">IX. Conclusion</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This study demonstrates that standard data science and machine learning techniques, applied to a verified synthetic library transaction dataset of 1,042 records, yield directly actionable operational intelligence for academic library management. Six research questions were addressed and all reported results are internally consistent across the Abstract, Methodology, Findings, and this Conclusion.</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The study's most consequential finding is the genre-specific loan period mismatch (RQ5): Engineering and Science books are systematically retained beyond the 14-day limit not as a compliance failure, but because the uniform policy structurally fails to accommodate the reading demands of dense technical material. The data provide an unambiguous, evidence-based mandate for a tiered loan policy — 21 days for technical genres and 14 days for general content — which would eliminate structurally imposed fines among the most academically engaged students without imposing additional administrative burden.</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The fine risk prediction model (Logistic Regression, 85% accuracy, F1 = 0.84) enables a demonstrable operational shift: from reactive fine collection after a violation to proactive identification and early intervention at the point of issuance. Deployed in conjunction with automated reminders at Day 7 and Day 12 of each active loan, the integrated system has the potential to substantially reduce overdue rates while improving the student borrowing experience.</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The top 10% of students by cumulative fine generated 34.5% of total fine revenue (RQ3), confirming that targeted interventions — rather than uniform enforcement — represent the highest-efficiency administrative response. The statistically significant correlation between borrowing frequency and fine accumulation (r = 0.34, p &lt; 0.05, RQ6) further identifies the library’s most engaged users as the cohort most in need of supportive, rather than punitive, policy design. Demand concentration analysis (RQ1) establishes that Indian History, Aptitude, and DBMS each recorded 44 transactions — evidence that acquisition investment must be concentrated on these high-demand titles to prevent stock depletion during peak periods. The RQ3 fine-concentration finding further warrants a structured notification protocol in which automated reminders are dispatched at Day 7 and Day 12 of each active loan specifically targeting the top-fine cohort, translating a descriptive finding into a deployable administrative intervention. Taken together with the moderate positive correlation of r = 0.34 (p &lt; 0.05, RQ6) — which reframes high-frequency borrowers as risk-elevated rather than non-compliant — these findings argue for a unified support infrastructure that couples proactive reminders with auto-renewal privileges for the library’s most active users.</w:t>
      </w:r>
    </w:p>
    <w:p>
      <w:pPr>
        <w:spacing w:after="120" w:before="0" w:line="276"/>
        <w:jc w:val="both"/>
      </w:pPr>
      <w:r>
        <w:rPr>
          <w:rFonts w:ascii="Times New Roman" w:cs="Times New Roman" w:eastAsia="Times New Roman" w:hAnsi="Times New Roman"/>
          <w:b w:val="false"/>
          <w:bCs w:val="false"/>
          <w:i w:val="false"/>
          <w:iCs w:val="false"/>
          <w:color w:val="000000"/>
          <w:sz w:val="20"/>
          <w:szCs w:val="20"/>
        </w:rPr>
        <w:t xml:space="preserve">The adoption of a synthetic dataset constitutes a proactive methodological choice: by constructing a privacy-compliant transaction log that faithfully preserves realistic distributional properties, the study engages productively with India’s evolving data-protection legislation rather than circumventing it, ensuring full ethical compliance from the outset. The methodology is directly transferable to real institutional contexts upon retraining on live transaction records, and the qualitative findings are consistent with the broader library analytics literature [1]–[4].</w:t>
      </w:r>
    </w:p>
    <w:p>
      <w:pPr>
        <w:spacing w:after="120" w:before="240"/>
        <w:jc w:val="center"/>
      </w:pPr>
      <w:r>
        <w:rPr>
          <w:rFonts w:ascii="Times New Roman" w:cs="Times New Roman" w:eastAsia="Times New Roman" w:hAnsi="Times New Roman"/>
          <w:b/>
          <w:bCs/>
          <w:caps/>
          <w:sz w:val="22"/>
          <w:szCs w:val="22"/>
        </w:rPr>
        <w:t xml:space="preserve">. References</w:t>
      </w:r>
    </w:p>
    <w:p>
      <w:pPr>
        <w:spacing w:after="60" w:line="260"/>
        <w:ind w:left="360" w:hanging="360"/>
      </w:pPr>
      <w:r>
        <w:rPr>
          <w:rFonts w:ascii="Times New Roman" w:cs="Times New Roman" w:eastAsia="Times New Roman" w:hAnsi="Times New Roman"/>
          <w:sz w:val="18"/>
          <w:szCs w:val="18"/>
        </w:rPr>
        <w:t xml:space="preserve">[1]  R. Bhatnagar and S. Hegde, "The role of artificial intelligence in library and information science: Current trends and future prospects," Library Philosophy and Practice (e-journal), 2021.</w:t>
      </w:r>
    </w:p>
    <w:p>
      <w:pPr>
        <w:spacing w:after="60" w:line="260"/>
        <w:ind w:left="360" w:hanging="360"/>
      </w:pPr>
      <w:r>
        <w:rPr>
          <w:rFonts w:ascii="Times New Roman" w:cs="Times New Roman" w:eastAsia="Times New Roman" w:hAnsi="Times New Roman"/>
          <w:sz w:val="18"/>
          <w:szCs w:val="18"/>
        </w:rPr>
        <w:t xml:space="preserve">[2]  L. F. Chien and C. S. Chou, "A review of machine learning applications in library science," Library Management, vol. 41, no. 8, pp. 639–654, 2020.</w:t>
      </w:r>
    </w:p>
    <w:p>
      <w:pPr>
        <w:spacing w:after="60" w:line="260"/>
        <w:ind w:left="360" w:hanging="360"/>
      </w:pPr>
      <w:r>
        <w:rPr>
          <w:rFonts w:ascii="Times New Roman" w:cs="Times New Roman" w:eastAsia="Times New Roman" w:hAnsi="Times New Roman"/>
          <w:sz w:val="18"/>
          <w:szCs w:val="18"/>
        </w:rPr>
        <w:t xml:space="preserve">[3]  S. E. Clement and N. R. Shadbolt, "Data-driven decision making in libraries," Journal of Information Science, vol. 48, no. 2, pp. 197–208, 2022.</w:t>
      </w:r>
    </w:p>
    <w:p>
      <w:pPr>
        <w:spacing w:after="60" w:line="260"/>
        <w:ind w:left="360" w:hanging="360"/>
      </w:pPr>
      <w:r>
        <w:rPr>
          <w:rFonts w:ascii="Times New Roman" w:cs="Times New Roman" w:eastAsia="Times New Roman" w:hAnsi="Times New Roman"/>
          <w:sz w:val="18"/>
          <w:szCs w:val="18"/>
        </w:rPr>
        <w:t xml:space="preserve">[4]  D. Daimari, M. Narzary, N. Mazumdar, and A. Nag, "A machine learning based book availability prediction model for library management system," Library Philosophy and Practice (e-journal), 2021.</w:t>
      </w:r>
    </w:p>
    <w:p>
      <w:pPr>
        <w:spacing w:after="60" w:line="260"/>
        <w:ind w:left="360" w:hanging="360"/>
      </w:pPr>
      <w:r>
        <w:rPr>
          <w:rFonts w:ascii="Times New Roman" w:cs="Times New Roman" w:eastAsia="Times New Roman" w:hAnsi="Times New Roman"/>
          <w:sz w:val="18"/>
          <w:szCs w:val="18"/>
        </w:rPr>
        <w:t xml:space="preserve">[5]  J. D. Hunter, "Matplotlib: A 2D graphics environment," Computing in Science &amp; Engineering, vol. 9, no. 3, pp. 90–95, 2007.</w:t>
      </w:r>
    </w:p>
    <w:p>
      <w:pPr>
        <w:spacing w:after="60" w:line="260"/>
        <w:ind w:left="360" w:hanging="360"/>
      </w:pPr>
      <w:r>
        <w:rPr>
          <w:rFonts w:ascii="Times New Roman" w:cs="Times New Roman" w:eastAsia="Times New Roman" w:hAnsi="Times New Roman"/>
          <w:sz w:val="18"/>
          <w:szCs w:val="18"/>
        </w:rPr>
        <w:t xml:space="preserve">[6]  X. Liu and Y. Yang, "Personalizing library search and recommendation systems with machine learning," Library Hi Tech, vol. 38, no. 4, pp. 752–767, 2020.</w:t>
      </w:r>
    </w:p>
    <w:p>
      <w:pPr>
        <w:spacing w:after="60" w:line="260"/>
        <w:ind w:left="360" w:hanging="360"/>
      </w:pPr>
      <w:r>
        <w:rPr>
          <w:rFonts w:ascii="Times New Roman" w:cs="Times New Roman" w:eastAsia="Times New Roman" w:hAnsi="Times New Roman"/>
          <w:sz w:val="18"/>
          <w:szCs w:val="18"/>
        </w:rPr>
        <w:t xml:space="preserve">[7]  W. McKinney, "Data structures for statistical computing in Python," in Proc. 9th Python in Science Conf. (SciPy 2010), Austin, TX, USA, 2010, pp. 51–56.</w:t>
      </w:r>
    </w:p>
    <w:p>
      <w:pPr>
        <w:spacing w:after="60" w:line="260"/>
        <w:ind w:left="360" w:hanging="360"/>
      </w:pPr>
      <w:r>
        <w:rPr>
          <w:rFonts w:ascii="Times New Roman" w:cs="Times New Roman" w:eastAsia="Times New Roman" w:hAnsi="Times New Roman"/>
          <w:sz w:val="18"/>
          <w:szCs w:val="18"/>
        </w:rPr>
        <w:t xml:space="preserve">[8]  K. Mehta and P. Jain, "The role of artificial intelligence in transforming library services," Library Review, vol. 70, no. 6, pp. 405–417, 2021.</w:t>
      </w:r>
    </w:p>
    <w:p>
      <w:pPr>
        <w:spacing w:after="60" w:line="260"/>
        <w:ind w:left="360" w:hanging="360"/>
      </w:pPr>
      <w:r>
        <w:rPr>
          <w:rFonts w:ascii="Times New Roman" w:cs="Times New Roman" w:eastAsia="Times New Roman" w:hAnsi="Times New Roman"/>
          <w:sz w:val="18"/>
          <w:szCs w:val="18"/>
        </w:rPr>
        <w:t xml:space="preserve">[9]  S. M. Muthu, "Artificial intelligence applications in digital libraries," Digital Library Perspectives, vol. 36, no. 3, pp. 187–201, 2020.</w:t>
      </w:r>
    </w:p>
    <w:p>
      <w:pPr>
        <w:spacing w:after="60" w:line="260"/>
        <w:ind w:left="360" w:hanging="360"/>
      </w:pPr>
      <w:r>
        <w:rPr>
          <w:rFonts w:ascii="Times New Roman" w:cs="Times New Roman" w:eastAsia="Times New Roman" w:hAnsi="Times New Roman"/>
          <w:sz w:val="18"/>
          <w:szCs w:val="18"/>
        </w:rPr>
        <w:t xml:space="preserve">[10] F. Pedregosa et al., "Scikit-learn: Machine learning in Python," Journal of Machine Learning Research, vol. 12, pp. 2825–2830, 2011.</w:t>
      </w:r>
    </w:p>
    <w:p>
      <w:pPr>
        <w:spacing w:after="60" w:line="260"/>
        <w:ind w:left="360" w:hanging="360"/>
      </w:pPr>
      <w:r>
        <w:rPr>
          <w:rFonts w:ascii="Times New Roman" w:cs="Times New Roman" w:eastAsia="Times New Roman" w:hAnsi="Times New Roman"/>
          <w:sz w:val="18"/>
          <w:szCs w:val="18"/>
        </w:rPr>
        <w:t xml:space="preserve">[11] C. Romero and S. Ventura, Data Mining in E-Learning. Southampton, UK: WIT Press, 2006.</w:t>
      </w:r>
    </w:p>
    <w:p>
      <w:pPr>
        <w:spacing w:after="60" w:line="260"/>
        <w:ind w:left="360" w:hanging="360"/>
      </w:pPr>
      <w:r>
        <w:rPr>
          <w:rFonts w:ascii="Times New Roman" w:cs="Times New Roman" w:eastAsia="Times New Roman" w:hAnsi="Times New Roman"/>
          <w:sz w:val="18"/>
          <w:szCs w:val="18"/>
        </w:rPr>
        <w:t xml:space="preserve">[12] Z. Tang and X. Xu, "Ethical challenges of using artificial intelligence in libraries," Journal of Information Ethics, vol. 30, no. 2, pp. 88–102, 2021.</w:t>
      </w:r>
    </w:p>
    <w:p>
      <w:pPr>
        <w:spacing w:after="60" w:line="260"/>
        <w:ind w:left="360" w:hanging="360"/>
      </w:pPr>
      <w:r>
        <w:rPr>
          <w:rFonts w:ascii="Times New Roman" w:cs="Times New Roman" w:eastAsia="Times New Roman" w:hAnsi="Times New Roman"/>
          <w:sz w:val="18"/>
          <w:szCs w:val="18"/>
        </w:rPr>
        <w:t xml:space="preserve">[13] R. K. Tiwari and M. Kaur, "Automated cataloging and metadata generation in academic libraries using machine learning," Information Processing &amp; Management, vol. 58, no. 3, art. 102542, 2021.</w:t>
      </w:r>
    </w:p>
    <w:p>
      <w:pPr>
        <w:spacing w:after="60" w:line="260"/>
        <w:ind w:left="360" w:hanging="360"/>
      </w:pPr>
      <w:r>
        <w:rPr>
          <w:rFonts w:ascii="Times New Roman" w:cs="Times New Roman" w:eastAsia="Times New Roman" w:hAnsi="Times New Roman"/>
          <w:sz w:val="18"/>
          <w:szCs w:val="18"/>
        </w:rPr>
        <w:t xml:space="preserve">[14] M. Zhang, "Application of data mining technology in digital library," Journal of Computers, vol. 6, no. 4, pp. 761–768, 2011.</w:t>
      </w:r>
    </w:p>
    <w:p>
      <w:pPr>
        <w:spacing w:after="160" w:before="3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Times New Roman" w:cs="Times New Roman" w:eastAsia="Times New Roman" w:hAnsi="Times New Roman"/>
      <w:b/>
      <w:bCs/>
      <w:caps/>
      <w:sz w:val="22"/>
      <w:szCs w:val="22"/>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2026-04-09T15:22:41.777Z</dcterms:created>
  <dcterms:modified xsi:type="dcterms:W3CDTF">2026-04-09T15:22:41.779Z</dcterms:modified>
</cp:coreProperties>
</file>

<file path=docProps/custom.xml><?xml version="1.0" encoding="utf-8"?>
<Properties xmlns="http://schemas.openxmlformats.org/officeDocument/2006/custom-properties" xmlns:vt="http://schemas.openxmlformats.org/officeDocument/2006/docPropsVTypes"/>
</file>