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EV‑Charger Regression – TWO‑WAY FE (mun + year)</w:t>
      </w:r>
    </w:p>
    <w:p>
      <w:pPr>
        <w:pStyle w:val="Normal"/>
      </w:pPr>
      <w:r>
        <w:t xml:space="preserve">Note: Subsidy main term is omitted (collinear with year dummies).</w:t>
      </w:r>
    </w:p>
    <w:p>
      <w:pPr>
        <w:pStyle w:val="Titre2"/>
      </w:pPr>
      <w:r>
        <w:t xml:space="preserve">Two‑way FE  Fast chargers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42"/>
        <w:gridCol w:w="1230"/>
        <w:gridCol w:w="1157"/>
        <w:gridCol w:w="1120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0.7891</w:t>
            </w:r>
          </w:p>
        </w:tc>
      </w:tr>
      <w:tr>
        <w:trPr>
          <w:trHeight w:val="57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0.1688</w:t>
            </w:r>
          </w:p>
        </w:tc>
      </w:tr>
      <w:tr>
        <w:trPr>
          <w:trHeight w:val="569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Two‑way FE  Normal chargers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42"/>
        <w:gridCol w:w="1230"/>
        <w:gridCol w:w="1157"/>
        <w:gridCol w:w="1120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57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0.0611</w:t>
            </w:r>
          </w:p>
        </w:tc>
      </w:tr>
      <w:tr>
        <w:trPr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0.1302</w:t>
            </w:r>
          </w:p>
        </w:tc>
      </w:tr>
      <w:tr>
        <w:trPr>
          <w:trHeight w:val="569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0.7052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farhanakhtar</cp:lastModifiedBy>
  <cp:revision>9</cp:revision>
  <dcterms:created xsi:type="dcterms:W3CDTF">2017-02-28T11:18:00Z</dcterms:created>
  <dcterms:modified xsi:type="dcterms:W3CDTF">2025-05-06T04:25:31Z</dcterms:modified>
  <cp:category/>
</cp:coreProperties>
</file>