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EV‑Charger Regression – updated single‑file run</w:t>
      </w:r>
    </w:p>
    <w:p>
      <w:pPr>
        <w:pStyle w:val="Titre2"/>
      </w:pPr>
      <w:r>
        <w:t xml:space="preserve">Random‑effects Fast chargers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42"/>
        <w:gridCol w:w="1230"/>
        <w:gridCol w:w="1157"/>
        <w:gridCol w:w="1120"/>
      </w:tblGrid>
      <w:tr>
        <w:trPr>
          <w:trHeight w:val="61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</w:tr>
      <w:tr>
        <w:trPr>
          <w:trHeight w:val="569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99.7061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13.8998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7.1732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trHeight w:val="569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0.3203</w:t>
            </w:r>
          </w:p>
        </w:tc>
      </w:tr>
      <w:tr>
        <w:trPr>
          <w:trHeight w:val="57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0.1013</w:t>
            </w:r>
          </w:p>
        </w:tc>
      </w:tr>
      <w:tr>
        <w:trPr>
          <w:trHeight w:val="569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-6.1071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trHeight w:val="569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0.5616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2"/>
      </w:pPr>
      <w:r>
        <w:t xml:space="preserve">Random‑effects Normal chargers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28"/>
        <w:gridCol w:w="1230"/>
        <w:gridCol w:w="1157"/>
        <w:gridCol w:w="1120"/>
      </w:tblGrid>
      <w:tr>
        <w:trPr>
          <w:trHeight w:val="61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</w:tr>
      <w:tr>
        <w:trPr>
          <w:trHeight w:val="57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239.8888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28.9455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8.2876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trHeight w:val="569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0.9289</w:t>
            </w:r>
          </w:p>
        </w:tc>
      </w:tr>
      <w:tr>
        <w:trPr>
          <w:trHeight w:val="569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0.0066</w:t>
            </w:r>
          </w:p>
        </w:tc>
      </w:tr>
      <w:tr>
        <w:trPr>
          <w:trHeight w:val="57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-4.8649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-7.4113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trHeight w:val="569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1.4344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2"/>
      </w:pPr>
      <w:r>
        <w:t xml:space="preserve">Fixed‑effects   Fast chargers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42"/>
        <w:gridCol w:w="1230"/>
        <w:gridCol w:w="1157"/>
        <w:gridCol w:w="1120"/>
      </w:tblGrid>
      <w:tr>
        <w:trPr>
          <w:trHeight w:val="61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</w:tr>
      <w:tr>
        <w:trPr>
          <w:trHeight w:val="57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3.8260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</w:t>
            </w:r>
          </w:p>
        </w:tc>
      </w:tr>
      <w:tr>
        <w:trPr>
          <w:trHeight w:val="569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0.8989</w:t>
            </w:r>
          </w:p>
        </w:tc>
      </w:tr>
      <w:tr>
        <w:trPr>
          <w:trHeight w:val="57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0.0060</w:t>
            </w:r>
          </w:p>
        </w:tc>
      </w:tr>
      <w:tr>
        <w:trPr>
          <w:trHeight w:val="569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0.8493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2"/>
      </w:pPr>
      <w:r>
        <w:t xml:space="preserve">Fixed‑effects   Normal chargers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42"/>
        <w:gridCol w:w="1230"/>
        <w:gridCol w:w="1157"/>
        <w:gridCol w:w="1120"/>
      </w:tblGrid>
      <w:tr>
        <w:trPr>
          <w:trHeight w:val="61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</w:tr>
      <w:tr>
        <w:trPr>
          <w:trHeight w:val="569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1.3614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0.1740</w:t>
            </w:r>
          </w:p>
        </w:tc>
      </w:tr>
      <w:tr>
        <w:trPr>
          <w:trHeight w:val="569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0.0490</w:t>
            </w:r>
          </w:p>
        </w:tc>
      </w:tr>
      <w:tr>
        <w:trPr>
          <w:trHeight w:val="569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0.0450</w:t>
            </w:r>
          </w:p>
        </w:tc>
      </w:tr>
      <w:tr>
        <w:trPr>
          <w:trHeight w:val="569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1.1345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0.2571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2"/>
      </w:pPr>
      <w:r>
        <w:t xml:space="preserve">Hausman test Fast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06"/>
        <w:gridCol w:w="1120"/>
        <w:gridCol w:w="1413"/>
      </w:tblGrid>
      <w:tr>
        <w:trPr>
          <w:trHeight w:val="61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</w:tr>
      <w:tr>
        <w:trPr>
          <w:trHeight w:val="569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64.5357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2"/>
      </w:pPr>
      <w:r>
        <w:t xml:space="preserve">Hausman test Normal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44"/>
        <w:gridCol w:w="1120"/>
        <w:gridCol w:w="1413"/>
      </w:tblGrid>
      <w:tr>
        <w:trPr>
          <w:trHeight w:val="61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</w:tr>
      <w:tr>
        <w:trPr>
          <w:trHeight w:val="570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1.1169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0.8916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</w:tbl>
    <w:p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farhanakhtar</cp:lastModifiedBy>
  <cp:revision>9</cp:revision>
  <dcterms:created xsi:type="dcterms:W3CDTF">2017-02-28T11:18:00Z</dcterms:created>
  <dcterms:modified xsi:type="dcterms:W3CDTF">2025-05-06T04:25:32Z</dcterms:modified>
  <cp:category/>
</cp:coreProperties>
</file>