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21212"/>
            <w:tcMar>
              <w:top w:w="280" w:type="dxa"/>
              <w:bottom w:w="280" w:type="dxa"/>
              <w:left w:w="260" w:type="dxa"/>
              <w:right w:w="260" w:type="dxa"/>
            </w:tcMar>
            <w:tcBorders>
              <w:top w:val="single" w:sz="16" w:space="0" w:color="C9A227"/>
              <w:bottom w:val="single" w:sz="16" w:space="0" w:color="C9A227"/>
              <w:left w:val="single" w:sz="16" w:space="0" w:color="C9A227"/>
              <w:right w:val="single" w:sz="16" w:space="0" w:color="C9A227"/>
            </w:tcBorders>
          </w:tcPr>
          <w:p>
            <w:pPr>
              <w:spacing w:after="120"/>
              <w:jc w:val="center"/>
            </w:pPr>
            <w:r>
              <w:rPr>
                <w:rFonts w:ascii="Calibri" w:hAnsi="Calibri"/>
                <w:b/>
                <w:color w:val="E8CE6B"/>
                <w:sz w:val="21"/>
              </w:rPr>
              <w:t>M A S T E R   R E S E A R C H   &amp;   E N G I N E E R I N G   B L U E P R I N T</w:t>
            </w:r>
          </w:p>
          <w:p>
            <w:pPr>
              <w:spacing w:after="120"/>
              <w:jc w:val="center"/>
            </w:pPr>
            <w:r>
              <w:rPr>
                <w:rFonts w:ascii="Georgia" w:hAnsi="Georgia"/>
                <w:b/>
                <w:color w:val="C9A227"/>
                <w:sz w:val="60"/>
              </w:rPr>
              <w:t>VISENTRA</w:t>
            </w:r>
          </w:p>
          <w:p>
            <w:pPr>
              <w:spacing w:after="160"/>
              <w:jc w:val="center"/>
            </w:pPr>
            <w:r>
              <w:rPr>
                <w:rFonts w:ascii="Calibri" w:hAnsi="Calibri"/>
                <w:b/>
                <w:color w:val="FFFFFF"/>
                <w:sz w:val="28"/>
              </w:rPr>
              <w:t>End-to-End Cryptographic Provenance and Hybrid Behavioral Assurance</w:t>
              <w:br/>
              <w:t>for Computer Vision Supply Chains (SIH26228)</w:t>
            </w:r>
          </w:p>
          <w:p>
            <w:pPr>
              <w:spacing w:after="120"/>
              <w:jc w:val="center"/>
            </w:pPr>
            <w:r>
              <w:rPr>
                <w:rFonts w:ascii="Calibri" w:hAnsi="Calibri"/>
                <w:color w:val="C9A227"/>
                <w:sz w:val="22"/>
              </w:rPr>
              <w:t>─────────────  ✦  ─────────────</w:t>
            </w:r>
          </w:p>
          <w:p>
            <w:pPr>
              <w:spacing w:after="80"/>
              <w:jc w:val="center"/>
            </w:pPr>
            <w:r>
              <w:rPr>
                <w:rFonts w:ascii="Calibri" w:hAnsi="Calibri"/>
                <w:color w:val="E8CE6B"/>
                <w:sz w:val="20"/>
              </w:rPr>
              <w:t>Complete Codebase Forensic Audit + Two-Stage Budgeted Assurance Architecture + Remediation Blueprint</w:t>
              <w:br/>
              <w:t>Grounded in IEEE S&amp;P, USENIX Security, NeurIPS, and ACSAC Adversarial ML &amp; Supply-Chain Literature</w:t>
              <w:br/>
              <w:t>Difficulty: 9.5 / 10   •   Category: AI Security + Cryptographic Provenance + Computer Vision Forensics</w:t>
              <w:br/>
              <w:t>Version 2.0 (Master Audit &amp; Blueprint Edition)   •   October 2026</w:t>
            </w:r>
          </w:p>
        </w:tc>
      </w:tr>
    </w:tbl>
    <w:p>
      <w:pPr>
        <w:keepNext/>
        <w:spacing w:before="320" w:after="120"/>
        <w:pBdr>
          <w:bottom w:val="single" w:sz="6" w:space="3" w:color="C9A227"/>
        </w:pBdr>
      </w:pPr>
      <w:r>
        <w:rPr>
          <w:rFonts w:ascii="Calibri" w:hAnsi="Calibri"/>
          <w:b/>
          <w:color w:val="5C1A2B"/>
          <w:sz w:val="32"/>
        </w:rPr>
        <w:t>Table of Contents</w:t>
      </w:r>
    </w:p>
    <w:p>
      <w:pPr>
        <w:spacing w:before="20" w:after="40"/>
      </w:pPr>
      <w:r>
        <w:rPr>
          <w:rFonts w:ascii="Calibri" w:hAnsi="Calibri"/>
          <w:b w:val="0"/>
          <w:color w:val="2B2118"/>
          <w:sz w:val="22"/>
        </w:rPr>
        <w:t xml:space="preserve">1.  Executive Summary &amp; Project Mandate  </w:t>
      </w:r>
      <w:r>
        <w:rPr>
          <w:rFonts w:ascii="Calibri" w:hAnsi="Calibri"/>
          <w:b w:val="0"/>
          <w:color w:val="5B5750"/>
          <w:sz w:val="21"/>
        </w:rPr>
        <w:t>[Section 1]</w:t>
      </w:r>
    </w:p>
    <w:p>
      <w:pPr>
        <w:spacing w:before="20" w:after="40"/>
      </w:pPr>
      <w:r>
        <w:rPr>
          <w:rFonts w:ascii="Calibri" w:hAnsi="Calibri"/>
          <w:b w:val="0"/>
          <w:color w:val="2B2118"/>
          <w:sz w:val="22"/>
        </w:rPr>
        <w:t xml:space="preserve">2.  Literature Landscape &amp; Theoretical Foundations  </w:t>
      </w:r>
      <w:r>
        <w:rPr>
          <w:rFonts w:ascii="Calibri" w:hAnsi="Calibri"/>
          <w:b w:val="0"/>
          <w:color w:val="5B5750"/>
          <w:sz w:val="21"/>
        </w:rPr>
        <w:t>[Section 2]</w:t>
      </w:r>
    </w:p>
    <w:p>
      <w:pPr>
        <w:spacing w:before="20" w:after="40"/>
      </w:pPr>
      <w:r>
        <w:rPr>
          <w:rFonts w:ascii="Calibri" w:hAnsi="Calibri"/>
          <w:b/>
          <w:color w:val="5C1A2B"/>
          <w:sz w:val="22"/>
        </w:rPr>
        <w:t xml:space="preserve">3.  The Identified Research &amp; Systems Gap  </w:t>
      </w:r>
      <w:r>
        <w:rPr>
          <w:rFonts w:ascii="Calibri" w:hAnsi="Calibri"/>
          <w:b/>
          <w:color w:val="5B5750"/>
          <w:sz w:val="21"/>
        </w:rPr>
        <w:t>[Section 3]</w:t>
      </w:r>
    </w:p>
    <w:p>
      <w:pPr>
        <w:spacing w:before="20" w:after="40"/>
      </w:pPr>
      <w:r>
        <w:rPr>
          <w:rFonts w:ascii="Calibri" w:hAnsi="Calibri"/>
          <w:b/>
          <w:color w:val="5C1A2B"/>
          <w:sz w:val="22"/>
        </w:rPr>
        <w:t xml:space="preserve">4.  Deep Forensic Audit of the Unfinished Visentra.zip Codebase  </w:t>
      </w:r>
      <w:r>
        <w:rPr>
          <w:rFonts w:ascii="Calibri" w:hAnsi="Calibri"/>
          <w:b/>
          <w:color w:val="5B5750"/>
          <w:sz w:val="21"/>
        </w:rPr>
        <w:t>[Section 4]</w:t>
      </w:r>
    </w:p>
    <w:p>
      <w:pPr>
        <w:spacing w:before="20" w:after="40"/>
      </w:pPr>
      <w:r>
        <w:rPr>
          <w:rFonts w:ascii="Calibri" w:hAnsi="Calibri"/>
          <w:b w:val="0"/>
          <w:color w:val="2B2118"/>
          <w:sz w:val="22"/>
        </w:rPr>
        <w:t xml:space="preserve">5.  Research Questions and Falsifiable Hypotheses  </w:t>
      </w:r>
      <w:r>
        <w:rPr>
          <w:rFonts w:ascii="Calibri" w:hAnsi="Calibri"/>
          <w:b w:val="0"/>
          <w:color w:val="5B5750"/>
          <w:sz w:val="21"/>
        </w:rPr>
        <w:t>[Section 5]</w:t>
      </w:r>
    </w:p>
    <w:p>
      <w:pPr>
        <w:spacing w:before="20" w:after="40"/>
      </w:pPr>
      <w:r>
        <w:rPr>
          <w:rFonts w:ascii="Calibri" w:hAnsi="Calibri"/>
          <w:b w:val="0"/>
          <w:color w:val="2B2118"/>
          <w:sz w:val="22"/>
        </w:rPr>
        <w:t xml:space="preserve">6.  Proposed System: VISENTRA-Complete (Two-Stage Budgeted Assurance)  </w:t>
      </w:r>
      <w:r>
        <w:rPr>
          <w:rFonts w:ascii="Calibri" w:hAnsi="Calibri"/>
          <w:b w:val="0"/>
          <w:color w:val="5B5750"/>
          <w:sz w:val="21"/>
        </w:rPr>
        <w:t>[Section 6]</w:t>
      </w:r>
    </w:p>
    <w:p>
      <w:pPr>
        <w:spacing w:before="20" w:after="40"/>
      </w:pPr>
      <w:r>
        <w:rPr>
          <w:rFonts w:ascii="Calibri" w:hAnsi="Calibri"/>
          <w:b w:val="0"/>
          <w:color w:val="2B2118"/>
          <w:sz w:val="22"/>
        </w:rPr>
        <w:t xml:space="preserve">7.  Novelty and Contribution Claims  </w:t>
      </w:r>
      <w:r>
        <w:rPr>
          <w:rFonts w:ascii="Calibri" w:hAnsi="Calibri"/>
          <w:b w:val="0"/>
          <w:color w:val="5B5750"/>
          <w:sz w:val="21"/>
        </w:rPr>
        <w:t>[Section 7]</w:t>
      </w:r>
    </w:p>
    <w:p>
      <w:pPr>
        <w:spacing w:before="20" w:after="40"/>
      </w:pPr>
      <w:r>
        <w:rPr>
          <w:rFonts w:ascii="Calibri" w:hAnsi="Calibri"/>
          <w:b w:val="0"/>
          <w:color w:val="2B2118"/>
          <w:sz w:val="22"/>
        </w:rPr>
        <w:t xml:space="preserve">8.  System Architecture &amp; Cryptographic Data Flow  </w:t>
      </w:r>
      <w:r>
        <w:rPr>
          <w:rFonts w:ascii="Calibri" w:hAnsi="Calibri"/>
          <w:b w:val="0"/>
          <w:color w:val="5B5750"/>
          <w:sz w:val="21"/>
        </w:rPr>
        <w:t>[Section 8]</w:t>
      </w:r>
    </w:p>
    <w:p>
      <w:pPr>
        <w:spacing w:before="20" w:after="40"/>
      </w:pPr>
      <w:r>
        <w:rPr>
          <w:rFonts w:ascii="Calibri" w:hAnsi="Calibri"/>
          <w:b w:val="0"/>
          <w:color w:val="2B2118"/>
          <w:sz w:val="22"/>
        </w:rPr>
        <w:t xml:space="preserve">9.  Technical and Mathematical Formulation  </w:t>
      </w:r>
      <w:r>
        <w:rPr>
          <w:rFonts w:ascii="Calibri" w:hAnsi="Calibri"/>
          <w:b w:val="0"/>
          <w:color w:val="5B5750"/>
          <w:sz w:val="21"/>
        </w:rPr>
        <w:t>[Section 9]</w:t>
      </w:r>
    </w:p>
    <w:p>
      <w:pPr>
        <w:spacing w:before="20" w:after="40"/>
      </w:pPr>
      <w:r>
        <w:rPr>
          <w:rFonts w:ascii="Calibri" w:hAnsi="Calibri"/>
          <w:b/>
          <w:color w:val="5C1A2B"/>
          <w:sz w:val="22"/>
        </w:rPr>
        <w:t xml:space="preserve">10. Engineering Remediation Blueprint (Exact Code-Level Fixes)  </w:t>
      </w:r>
      <w:r>
        <w:rPr>
          <w:rFonts w:ascii="Calibri" w:hAnsi="Calibri"/>
          <w:b/>
          <w:color w:val="5B5750"/>
          <w:sz w:val="21"/>
        </w:rPr>
        <w:t>[Section 10]</w:t>
      </w:r>
    </w:p>
    <w:p>
      <w:pPr>
        <w:spacing w:before="20" w:after="40"/>
      </w:pPr>
      <w:r>
        <w:rPr>
          <w:rFonts w:ascii="Calibri" w:hAnsi="Calibri"/>
          <w:b w:val="0"/>
          <w:color w:val="2B2118"/>
          <w:sz w:val="22"/>
        </w:rPr>
        <w:t xml:space="preserve">11. Benchmark Design and Evaluation Protocol (VisentraBench-180)  </w:t>
      </w:r>
      <w:r>
        <w:rPr>
          <w:rFonts w:ascii="Calibri" w:hAnsi="Calibri"/>
          <w:b w:val="0"/>
          <w:color w:val="5B5750"/>
          <w:sz w:val="21"/>
        </w:rPr>
        <w:t>[Section 11]</w:t>
      </w:r>
    </w:p>
    <w:p>
      <w:pPr>
        <w:spacing w:before="20" w:after="40"/>
      </w:pPr>
      <w:r>
        <w:rPr>
          <w:rFonts w:ascii="Calibri" w:hAnsi="Calibri"/>
          <w:b w:val="0"/>
          <w:color w:val="2B2118"/>
          <w:sz w:val="22"/>
        </w:rPr>
        <w:t xml:space="preserve">12. Baselines for Empirical Comparison  </w:t>
      </w:r>
      <w:r>
        <w:rPr>
          <w:rFonts w:ascii="Calibri" w:hAnsi="Calibri"/>
          <w:b w:val="0"/>
          <w:color w:val="5B5750"/>
          <w:sz w:val="21"/>
        </w:rPr>
        <w:t>[Section 12]</w:t>
      </w:r>
    </w:p>
    <w:p>
      <w:pPr>
        <w:spacing w:before="20" w:after="40"/>
      </w:pPr>
      <w:r>
        <w:rPr>
          <w:rFonts w:ascii="Calibri" w:hAnsi="Calibri"/>
          <w:b/>
          <w:color w:val="5C1A2B"/>
          <w:sz w:val="22"/>
        </w:rPr>
        <w:t xml:space="preserve">13. Evaluation Metrics  </w:t>
      </w:r>
      <w:r>
        <w:rPr>
          <w:rFonts w:ascii="Calibri" w:hAnsi="Calibri"/>
          <w:b/>
          <w:color w:val="5B5750"/>
          <w:sz w:val="21"/>
        </w:rPr>
        <w:t>[Section 13]</w:t>
      </w:r>
    </w:p>
    <w:p>
      <w:pPr>
        <w:spacing w:before="20" w:after="40"/>
      </w:pPr>
      <w:r>
        <w:rPr>
          <w:rFonts w:ascii="Calibri" w:hAnsi="Calibri"/>
          <w:b/>
          <w:color w:val="5C1A2B"/>
          <w:sz w:val="22"/>
        </w:rPr>
        <w:t xml:space="preserve">14. Tech Stack and Production Implementation Plan  </w:t>
      </w:r>
      <w:r>
        <w:rPr>
          <w:rFonts w:ascii="Calibri" w:hAnsi="Calibri"/>
          <w:b/>
          <w:color w:val="5B5750"/>
          <w:sz w:val="21"/>
        </w:rPr>
        <w:t>[Section 14]</w:t>
      </w:r>
    </w:p>
    <w:p>
      <w:pPr>
        <w:spacing w:before="20" w:after="40"/>
      </w:pPr>
      <w:r>
        <w:rPr>
          <w:rFonts w:ascii="Calibri" w:hAnsi="Calibri"/>
          <w:b w:val="0"/>
          <w:color w:val="2B2118"/>
          <w:sz w:val="22"/>
        </w:rPr>
        <w:t xml:space="preserve">15. Fourteen-Week Execution &amp; Completion Timeline  </w:t>
      </w:r>
      <w:r>
        <w:rPr>
          <w:rFonts w:ascii="Calibri" w:hAnsi="Calibri"/>
          <w:b w:val="0"/>
          <w:color w:val="5B5750"/>
          <w:sz w:val="21"/>
        </w:rPr>
        <w:t>[Section 15]</w:t>
      </w:r>
    </w:p>
    <w:p>
      <w:pPr>
        <w:spacing w:before="20" w:after="40"/>
      </w:pPr>
      <w:r>
        <w:rPr>
          <w:rFonts w:ascii="Calibri" w:hAnsi="Calibri"/>
          <w:b w:val="0"/>
          <w:color w:val="2B2118"/>
          <w:sz w:val="22"/>
        </w:rPr>
        <w:t xml:space="preserve">16. Risk Register and Mitigation Strategies  </w:t>
      </w:r>
      <w:r>
        <w:rPr>
          <w:rFonts w:ascii="Calibri" w:hAnsi="Calibri"/>
          <w:b w:val="0"/>
          <w:color w:val="5B5750"/>
          <w:sz w:val="21"/>
        </w:rPr>
        <w:t>[Section 16]</w:t>
      </w:r>
    </w:p>
    <w:p>
      <w:pPr>
        <w:spacing w:before="20" w:after="40"/>
      </w:pPr>
      <w:r>
        <w:rPr>
          <w:rFonts w:ascii="Calibri" w:hAnsi="Calibri"/>
          <w:b w:val="0"/>
          <w:color w:val="2B2118"/>
          <w:sz w:val="22"/>
        </w:rPr>
        <w:t xml:space="preserve">17. Expected Contributions &amp; Deliverables Checklist  </w:t>
      </w:r>
      <w:r>
        <w:rPr>
          <w:rFonts w:ascii="Calibri" w:hAnsi="Calibri"/>
          <w:b w:val="0"/>
          <w:color w:val="5B5750"/>
          <w:sz w:val="21"/>
        </w:rPr>
        <w:t>[Section 17]</w:t>
      </w:r>
    </w:p>
    <w:p>
      <w:pPr>
        <w:spacing w:before="20" w:after="40"/>
      </w:pPr>
      <w:r>
        <w:rPr>
          <w:rFonts w:ascii="Calibri" w:hAnsi="Calibri"/>
          <w:b w:val="0"/>
          <w:color w:val="2B2118"/>
          <w:sz w:val="22"/>
        </w:rPr>
        <w:t xml:space="preserve">18. Glossary of Cryptographic &amp; Adversarial ML Terms  </w:t>
      </w:r>
      <w:r>
        <w:rPr>
          <w:rFonts w:ascii="Calibri" w:hAnsi="Calibri"/>
          <w:b w:val="0"/>
          <w:color w:val="5B5750"/>
          <w:sz w:val="21"/>
        </w:rPr>
        <w:t>[Section 18]</w:t>
      </w:r>
    </w:p>
    <w:p>
      <w:pPr>
        <w:spacing w:before="20" w:after="40"/>
      </w:pPr>
      <w:r>
        <w:rPr>
          <w:rFonts w:ascii="Calibri" w:hAnsi="Calibri"/>
          <w:b/>
          <w:color w:val="5C1A2B"/>
          <w:sz w:val="22"/>
        </w:rPr>
        <w:t xml:space="preserve">19. References &amp; Attribution Declaration  </w:t>
      </w:r>
      <w:r>
        <w:rPr>
          <w:rFonts w:ascii="Calibri" w:hAnsi="Calibri"/>
          <w:b/>
          <w:color w:val="5B5750"/>
          <w:sz w:val="21"/>
        </w:rPr>
        <w:t>[Section 19]</w:t>
      </w:r>
    </w:p>
    <w:p>
      <w:pPr>
        <w:keepNext/>
        <w:spacing w:before="320" w:after="120"/>
        <w:pBdr>
          <w:bottom w:val="single" w:sz="6" w:space="3" w:color="C9A227"/>
        </w:pBdr>
      </w:pPr>
      <w:r>
        <w:rPr>
          <w:rFonts w:ascii="Calibri" w:hAnsi="Calibri"/>
          <w:b/>
          <w:color w:val="5C1A2B"/>
          <w:sz w:val="32"/>
        </w:rPr>
        <w:t>1. Executive Summary &amp; Project Mandate</w:t>
      </w:r>
    </w:p>
    <w:p>
      <w:pPr>
        <w:spacing w:before="0" w:after="120" w:line="276" w:lineRule="auto"/>
      </w:pPr>
      <w:r>
        <w:rPr>
          <w:rFonts w:ascii="Calibri" w:hAnsi="Calibri"/>
          <w:color w:val="2B2118"/>
          <w:sz w:val="22"/>
        </w:rPr>
        <w:t>This Master Research and Engineering Blueprint delivers a dual-mandate investigation of VISENTRA (Smart India Hackathon Problem Statement SIH26228: 'From Data to Decision, Proving AI Integrity'). First, it conducts an exhaustive, file-by-file forensic audit of the attached unfinished Visentra.zip codebase, diagnosing the exact boundary between functional end-to-end slices, deterministic synthetic fallbacks, and unfinished architectural wiring. Second, modeled directly on the structural rigor of the GateOrchestra Master Research Blueprint, it formulates a publication-grade research and engineering design — VISENTRA-Complete — that resolves both the theoretical gap in machine learning supply-chain assurance and the 14 concrete engineering defects identified in the prototype repository.</w:t>
      </w:r>
    </w:p>
    <w:p>
      <w:pPr>
        <w:spacing w:before="0" w:after="120" w:line="276" w:lineRule="auto"/>
      </w:pPr>
      <w:r>
        <w:rPr>
          <w:rFonts w:ascii="Calibri" w:hAnsi="Calibri"/>
          <w:color w:val="2B2118"/>
          <w:sz w:val="22"/>
        </w:rPr>
        <w:t>Modern Computer Vision (CV) pipelines assemble training datasets from external annotators, download pretrained backbone weights from public hubs (HuggingFace, ONNX Model Zoo), fine-tune checkpoints on third-party GPUs, and deploy models to edge or cloud inference endpoints. Existing supply-chain security frameworks fall into a sharp dichotomy: cryptographic provenance frameworks such as in-toto (Torres-Arias et al., USENIX Security 2019), SLSA, and C2PA verify binary bit-identity via hashes and signatures, but are completely blind to semantic poisoning and embedded neural Trojans (Gu et al., BadNets 2017) introduced before the hash was sealed. Conversely, neural backdoor defenses such as Neural Cleanse (Wang et al., IEEE S&amp;P 2019), Spectral Signatures (Tran et al., NeurIPS 2018), and STRIP (Gao et al., ACSAC 2019) interrogate internal representations or output entropy, but operate in isolation from cryptographic lineage graphs, dataset deduplication, and non-repudiable inference execution certificates.</w:t>
      </w:r>
    </w:p>
    <w:p>
      <w:pPr>
        <w:spacing w:before="0" w:after="120" w:line="276" w:lineRule="auto"/>
      </w:pPr>
      <w:r>
        <w:rPr>
          <w:rFonts w:ascii="Calibri" w:hAnsi="Calibri"/>
          <w:color w:val="2B2118"/>
          <w:sz w:val="22"/>
        </w:rPr>
        <w:t>Our forensic inspection of Visentra.zip reveals a well-conceived full-stack skeleton (FastAPI + SQLAlchemy async backend, React 19 + TypeScript + @xyflow/react frontend, and a disciplined 'Forensic Lab Instrument' design system) that is approximately 52% complete overall. However, critical core paths currently rely on synthetic fallbacks: (1) uploaded dataset ZIP archives are hashed as opaque blobs without extracting individual images or populating the dataset_sample table; (2) scripts/seed_demo.py generates 4,096 random bytes (os.urandom(4096)) rather than a valid ONNX graph, forcing both model interrogation and inference into hardcoded synthetic fallbacks; (3) OOD detection uses a 96-bin OpenCV color histogram instead of the documented 512-D MobileNetV2 ONNX feature extractor; (4) theInference Evidence UI displays a hardcoded 'VALID ECDSA-SHA256' badge while inference.signature in SQLite is NULL; and (5) the planned subprocess execution sandbox (backend/sandbox/) and AuditLog writes are completely unimplemented. This blueprint provides the complete theoretical formulation, benchmark protocol (VisentraBench-180), and exact code-level engineering remediation plan required to turn VISENTRA into a defensible, working, and falsifiable forensic assurance platform.</w:t>
      </w:r>
    </w:p>
    <w:p>
      <w:pPr>
        <w:keepNext/>
        <w:spacing w:before="320" w:after="120"/>
        <w:pBdr>
          <w:bottom w:val="single" w:sz="6" w:space="3" w:color="C9A227"/>
        </w:pBdr>
      </w:pPr>
      <w:r>
        <w:rPr>
          <w:rFonts w:ascii="Calibri" w:hAnsi="Calibri"/>
          <w:b/>
          <w:color w:val="5C1A2B"/>
          <w:sz w:val="32"/>
        </w:rPr>
        <w:t>2. Literature Landscape &amp; Theoretical Foundations</w:t>
      </w:r>
    </w:p>
    <w:p>
      <w:pPr>
        <w:keepNext/>
        <w:spacing w:before="240" w:after="80"/>
      </w:pPr>
      <w:r>
        <w:rPr>
          <w:rFonts w:ascii="Calibri" w:hAnsi="Calibri"/>
          <w:b/>
          <w:color w:val="2B2118"/>
          <w:sz w:val="26"/>
        </w:rPr>
        <w:t>2.1 Foundational Security &amp; Detection Primitives Grounding VISENTRA</w:t>
      </w:r>
    </w:p>
    <w:p>
      <w:pPr>
        <w:spacing w:before="0" w:after="120" w:line="276" w:lineRule="auto"/>
      </w:pPr>
      <w:r>
        <w:rPr>
          <w:rFonts w:ascii="Calibri" w:hAnsi="Calibri"/>
          <w:color w:val="2B2118"/>
          <w:sz w:val="22"/>
        </w:rPr>
        <w:t>Just as an agentic orchestrator grounds its sub-agents in established reasoning loops, VISENTRA's four verification pillars do not invent ad-hoc heuristics from scratch. Each pillar operationalizes a specific, peer-reviewed security or statistical learning primitive. Explicitly mapping these foundational papers clarifies that VISENTRA's core research contribution (Sections 3–9) lies in the unified cryptographic lineage coupling and the two-stage budgeted escalation gate sitting across these pillars.</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59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Foundational Technique (Paper)</w:t>
            </w:r>
          </w:p>
        </w:tc>
        <w:tc>
          <w:tcPr>
            <w:tcW w:type="dxa" w:w="331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Core Mathematical / Algorithmic Mechanism</w:t>
            </w:r>
          </w:p>
        </w:tc>
        <w:tc>
          <w:tcPr>
            <w:tcW w:type="dxa" w:w="3456"/>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VISENTRA Pillar &amp; Module It Grounds</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Perceptual Hashing &amp; Hamming Metric (Zauner, 2010; Venkatesan et al., IEEE ICIP 2000)</w:t>
            </w:r>
          </w:p>
        </w:tc>
        <w:tc>
          <w:tcPr>
            <w:tcW w:type="dxa" w:w="331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Computes 2D Discrete Cosine Transform (DCT) over 32x32 grayscale spatial intensity, retaining the low-frequency 8x8 block above median to emit a 64-bit locality-sensitive digest.</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Pillar I (backend/assurance/data/dataset_checks.py): Pairwise Hamming distance d_H(h_i, h_j) &lt;= 8 isolates near-duplicate and poison-amplified samples.</w:t>
            </w:r>
          </w:p>
        </w:tc>
      </w:tr>
      <w:tr>
        <w:trPr>
          <w:cantSplit/>
        </w:trPr>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Isolation Forest &amp; Mahalanobis OOD (Liu, Ting &amp; Zhou, IEEE ICDM 2008; Lee et al., NeurIPS 2018)</w:t>
            </w:r>
          </w:p>
        </w:tc>
        <w:tc>
          <w:tcPr>
            <w:tcW w:type="dxa" w:w="331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Isolates anomalies via random recursive hyperplane partitioning path length E[h(x)] in feature space, complemented by class-conditional Mahalanobis distance across deep embeddings.</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Pillar I (score_ood in dataset_checks.py): Screens semantic and distributional outliers before training or trigger testing.</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Cryptographic Supply-Chain Metadata (Torres-Arias et al., in-toto, USENIX Security 2019)</w:t>
            </w:r>
          </w:p>
        </w:tc>
        <w:tc>
          <w:tcPr>
            <w:tcW w:type="dxa" w:w="331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Binds software/ML supply-chain steps into a signed directed acyclic graph (DAG) of material (input) hashes, product (output) hashes, and actor signatures.</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Pillar II &amp; IV (backend/api/chain.py, models.py, inference.py): Grounds the Contributor -&gt; Dataset -&gt; Model -&gt; Inference DAG and hash-binding tuple.</w:t>
            </w:r>
          </w:p>
        </w:tc>
      </w:tr>
      <w:tr>
        <w:trPr>
          <w:cantSplit/>
        </w:trPr>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BadNets &amp; Patch Trigger Injection (Gu, Dolan-Gavitt &amp; Garg, IEEE Access / arXiv:1708.06733)</w:t>
            </w:r>
          </w:p>
        </w:tc>
        <w:tc>
          <w:tcPr>
            <w:tcW w:type="dxa" w:w="331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Demonstrates that stamping a localized pixel pattern (e.g., checkerboard or solid square) onto training images creates a high-confidence backdoor shortcut to an attacker target class y_t.</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Pillar III (TRIGGERS in backend/assurance/model/backdoor.py): Grounds the spatial perturbation library (checkerboard_16px, red_square_12px, red_cross_10px).</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Neural Cleanse MAD Anomaly Index (Wang et al., IEEE S&amp;P 2019) &amp; STRIP Entropy (Gao et al., ACSAC 2019)</w:t>
            </w:r>
          </w:p>
        </w:tc>
        <w:tc>
          <w:tcPr>
            <w:tcW w:type="dxa" w:w="331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Neural Cleanse detects target classes exhibiting abnormally small L1 trigger norms via Median Absolute Deviation (MAD &gt; 2.0); STRIP measures prediction entropy under input superimposition.</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Pillar III (run_backdoor_scan in backdoor.py): Grounds the consistency-rate + MAD anomaly index scoring formula and the proposed Stage-1/Stage-2 gate.</w:t>
            </w:r>
          </w:p>
        </w:tc>
      </w:tr>
      <w:tr>
        <w:trPr>
          <w:cantSplit/>
        </w:trPr>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Activation Clustering &amp; Spectral Signatures (Chen et al., SafeAI@AAAI 2019; Tran et al., NeurIPS 2018)</w:t>
            </w:r>
          </w:p>
        </w:tc>
        <w:tc>
          <w:tcPr>
            <w:tcW w:type="dxa" w:w="331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Projects penultimate layer activations h_L(x) via PCA/ICA or top singular value decomposition to separate clean vs. Trojaned sub-clusters within the target class.</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Pillar III (cluster_score in BackdoorFinding &amp; ModelInterrogationPanel): Grounds the white-box activation scatter and cluster separation metric.</w:t>
            </w:r>
          </w:p>
        </w:tc>
      </w:tr>
    </w:tbl>
    <w:p>
      <w:pPr>
        <w:spacing w:before="0" w:after="80"/>
      </w:pPr>
    </w:p>
    <w:p>
      <w:pPr>
        <w:keepNext/>
        <w:spacing w:before="240" w:after="80"/>
      </w:pPr>
      <w:r>
        <w:rPr>
          <w:rFonts w:ascii="Calibri" w:hAnsi="Calibri"/>
          <w:b/>
          <w:color w:val="2B2118"/>
          <w:sz w:val="26"/>
        </w:rPr>
        <w:t>2.2 ML Supply-Chain Provenance &amp; Trojan Defense — Closely Related Work</w:t>
      </w:r>
    </w:p>
    <w:p>
      <w:pPr>
        <w:spacing w:before="0" w:after="120" w:line="276" w:lineRule="auto"/>
      </w:pPr>
      <w:r>
        <w:rPr>
          <w:rFonts w:ascii="Calibri" w:hAnsi="Calibri"/>
          <w:color w:val="2B2118"/>
          <w:sz w:val="22"/>
        </w:rPr>
        <w:t>The table below maps the exact lineage of systems across cryptographic provenance and adversarial ML defense. Each row states what the prior framework contributes and — critically — what it leaves unresolved in end-to-end Computer Vision pipelines, establishing how the research gap in Section 3 was triangulated.</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44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System / Paper (Year)</w:t>
            </w:r>
          </w:p>
        </w:tc>
        <w:tc>
          <w:tcPr>
            <w:tcW w:type="dxa" w:w="316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Core Contribution</w:t>
            </w:r>
          </w:p>
        </w:tc>
        <w:tc>
          <w:tcPr>
            <w:tcW w:type="dxa" w:w="3744"/>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What It Leaves Unresolved (The Gap VISENTRA Targets)</w:t>
            </w:r>
          </w:p>
        </w:tc>
      </w:tr>
      <w:tr>
        <w:trPr>
          <w:cantSplit/>
        </w:trPr>
        <w:tc>
          <w:tcPr>
            <w:tcW w:type="dxa" w:w="24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in-toto / SLSA Framework (Torres-Arias et al., USENIX Security 2019; Google SLSA 2023)</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Cryptographically verifiable step-by-step build attestations and SHA-256 content-addressing across software supply-chain artifacts.</w:t>
            </w:r>
          </w:p>
        </w:tc>
        <w:tc>
          <w:tcPr>
            <w:tcW w:type="dxa" w:w="374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Treats ML datasets and model weights as opaque binary files; a Trojaned model trained on poisoned data passes 100% of SHA-256 and signature checks if sealed at build time.</w:t>
            </w:r>
          </w:p>
        </w:tc>
      </w:tr>
      <w:tr>
        <w:trPr>
          <w:cantSplit/>
        </w:trPr>
        <w:tc>
          <w:tcPr>
            <w:tcW w:type="dxa" w:w="24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C2PA &amp; Model Cards / ML-BOM (Coalition for Content Provenance, 2024–2026)</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Manifest-based cryptographic signing for media and ML artifacts, recording origin and transformation history.</w:t>
            </w:r>
          </w:p>
        </w:tc>
        <w:tc>
          <w:tcPr>
            <w:tcW w:type="dxa" w:w="374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Static metadata manifests do not execute behavioral trigger sweeps, do not screen datasets for perceptual duplicates/OOD, and do not dynamically invalidate downstream inference certificates upon weight bitflips.</w:t>
            </w:r>
          </w:p>
        </w:tc>
      </w:tr>
      <w:tr>
        <w:trPr>
          <w:cantSplit/>
        </w:trPr>
        <w:tc>
          <w:tcPr>
            <w:tcW w:type="dxa" w:w="24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Neural Cleanse (Wang et al., IEEE S&amp;P 2019)</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White-box gradient-based reverse engineering of minimal-norm triggers across all K output classes, scored via Median Absolute Deviation (MAD).</w:t>
            </w:r>
          </w:p>
        </w:tc>
        <w:tc>
          <w:tcPr>
            <w:tcW w:type="dxa" w:w="374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Computationally prohibitive for interactive MLOps gating on large class counts (scales as O(K) optimization loops, taking 15–120s+ per checkpoint); provides no cryptographic lineage or inference binding.</w:t>
            </w:r>
          </w:p>
        </w:tc>
      </w:tr>
      <w:tr>
        <w:trPr>
          <w:cantSplit/>
        </w:trPr>
        <w:tc>
          <w:tcPr>
            <w:tcW w:type="dxa" w:w="24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STRIP (Gao et al., ACSAC 2019)</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Run-time black-box Trojan detection by superimposing clean images onto incoming inputs and measuring Shannon entropy of output logits.</w:t>
            </w:r>
          </w:p>
        </w:tc>
        <w:tc>
          <w:tcPr>
            <w:tcW w:type="dxa" w:w="374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Operates only at single-sample inference time when the trigger is actively present in the test input; cannot audit a dormant model checkpoint prior to deployment without a structured trigger probe.</w:t>
            </w:r>
          </w:p>
        </w:tc>
      </w:tr>
      <w:tr>
        <w:trPr>
          <w:cantSplit/>
        </w:trPr>
        <w:tc>
          <w:tcPr>
            <w:tcW w:type="dxa" w:w="24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Spectral Signatures &amp; Activation Clustering (Tran et al., NeurIPS 2018; Chen et al., 2019)</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Detects poisoned training samples and Trojan shortcuts by analyzing covariance singular vectors or 2-means clustering in penultimate layer representations.</w:t>
            </w:r>
          </w:p>
        </w:tc>
        <w:tc>
          <w:tcPr>
            <w:tcW w:type="dxa" w:w="374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Requires white-box layer extraction and access to poisoned samples; not integrated with content-addressed storage or post-deployment inference non-repudiation.</w:t>
            </w:r>
          </w:p>
        </w:tc>
      </w:tr>
      <w:tr>
        <w:trPr>
          <w:cantSplit/>
        </w:trPr>
        <w:tc>
          <w:tcPr>
            <w:tcW w:type="dxa" w:w="24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BackdoorBench &amp; TrojAI (Wu et al., NeurIPS 2022; NIST TrojAI 2020–2025)</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Standardized benchmark suites evaluating attack success rate (ASR) and clean accuracy drop across patch, blended, and clean-label Trojans.</w:t>
            </w:r>
          </w:p>
        </w:tc>
        <w:tc>
          <w:tcPr>
            <w:tcW w:type="dxa" w:w="374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Purely offline research benchmarks for isolated model files; lack an interactive forensic DAG, live tamper-cascade telemetry, or composite supply-chain scoring.</w:t>
            </w:r>
          </w:p>
        </w:tc>
      </w:tr>
    </w:tbl>
    <w:p>
      <w:pPr>
        <w:spacing w:before="0" w:after="80"/>
      </w:pPr>
    </w:p>
    <w:p>
      <w:pPr>
        <w:keepNext/>
        <w:spacing w:before="320" w:after="120"/>
        <w:pBdr>
          <w:bottom w:val="single" w:sz="6" w:space="3" w:color="C9A227"/>
        </w:pBdr>
      </w:pPr>
      <w:r>
        <w:rPr>
          <w:rFonts w:ascii="Calibri" w:hAnsi="Calibri"/>
          <w:b/>
          <w:color w:val="5C1A2B"/>
          <w:sz w:val="32"/>
        </w:rPr>
        <w:t>3. The Identified Research &amp; Systems Gap</w:t>
      </w:r>
    </w:p>
    <w:p>
      <w:pPr>
        <w:spacing w:before="0" w:after="120" w:line="276" w:lineRule="auto"/>
      </w:pPr>
      <w:r>
        <w:rPr>
          <w:rFonts w:ascii="Calibri" w:hAnsi="Calibri"/>
          <w:color w:val="2B2118"/>
          <w:sz w:val="22"/>
        </w:rPr>
        <w:t>Stated as narrowly and falsifiably as possible so it is buildable, verifiable, and demonstrable within a single capstone / SIH cycle:</w:t>
      </w:r>
    </w:p>
    <w:tbl>
      <w:tblPr>
        <w:tblW w:type="auto" w:w="0"/>
        <w:jc w:val="center"/>
        <w:tblLook w:firstColumn="1" w:firstRow="1" w:lastColumn="0" w:lastRow="0" w:noHBand="0" w:noVBand="1" w:val="04A0"/>
      </w:tblPr>
      <w:tblGrid>
        <w:gridCol w:w="9360"/>
      </w:tblGrid>
      <w:tr>
        <w:trPr>
          <w:cantSplit/>
        </w:trPr>
        <w:tc>
          <w:tcPr>
            <w:tcW w:type="dxa" w:w="9360"/>
            <w:shd w:fill="5C1A2B"/>
            <w:tcMar>
              <w:top w:w="160" w:type="dxa"/>
              <w:bottom w:w="160" w:type="dxa"/>
              <w:left w:w="220" w:type="dxa"/>
              <w:right w:w="220" w:type="dxa"/>
            </w:tcMar>
            <w:tcBorders>
              <w:top w:val="single" w:sz="12" w:space="0" w:color="C9A227"/>
              <w:bottom w:val="single" w:sz="12" w:space="0" w:color="C9A227"/>
              <w:left w:val="single" w:sz="12" w:space="0" w:color="C9A227"/>
              <w:right w:val="single" w:sz="12" w:space="0" w:color="C9A227"/>
            </w:tcBorders>
          </w:tcPr>
          <w:p>
            <w:pPr>
              <w:spacing w:before="40" w:after="120"/>
            </w:pPr>
            <w:r>
              <w:rPr>
                <w:rFonts w:ascii="Calibri" w:hAnsi="Calibri"/>
                <w:b/>
                <w:color w:val="C9A227"/>
                <w:sz w:val="25"/>
              </w:rPr>
              <w:t>★ Identified Research &amp; Systems Gap ★</w:t>
            </w:r>
          </w:p>
          <w:p>
            <w:pPr>
              <w:spacing w:before="40" w:after="80" w:line="276" w:lineRule="auto"/>
            </w:pPr>
            <w:r>
              <w:rPr>
                <w:rFonts w:ascii="Calibri" w:hAnsi="Calibri"/>
                <w:color w:val="FFFFFF"/>
                <w:sz w:val="21"/>
              </w:rPr>
              <w:t>1. The Cryptographic-Behavioral Disconnect: Existing ML supply-chain security tools operate in two mutually blind silos. Cryptographic provenance systems (in-toto, SLSA, C2PA) prove binary identity (SHA-256 / ECDSA) but cannot detect semantic dataset poisoning or dormant neural Trojans. Conversely, backdoor defense algorithms (Neural Cleanse, Activation Clustering, STRIP) inspect model behavior in isolation but provide no content-addressed lineage, no dataset deduplication, and no cryptographic binding to downstream inference predictions.</w:t>
            </w:r>
          </w:p>
          <w:p>
            <w:pPr>
              <w:spacing w:before="40" w:after="80" w:line="276" w:lineRule="auto"/>
            </w:pPr>
            <w:r>
              <w:rPr>
                <w:rFonts w:ascii="Calibri" w:hAnsi="Calibri"/>
                <w:color w:val="FFFFFF"/>
                <w:sz w:val="21"/>
              </w:rPr>
              <w:t>2. The Latency-vs-Coverage Dilemma in Model Interrogation: Full white-box trigger synthesis (Neural Cleanse) scales linearly with the number of classes O(K) and requires expensive gradient optimization per checkpoint, whereas fast black-box patch probes (such as the unfinished prototype in Visentra.zip) are fast O(1) forward passes but miss non-library or blended triggers without white-box representation checks.</w:t>
            </w:r>
          </w:p>
          <w:p>
            <w:pPr>
              <w:spacing w:before="40" w:after="40" w:line="276" w:lineRule="auto"/>
            </w:pPr>
            <w:r>
              <w:rPr>
                <w:rFonts w:ascii="Calibri" w:hAnsi="Calibri"/>
                <w:color w:val="FFFFFF"/>
                <w:sz w:val="21"/>
              </w:rPr>
              <w:t>3. No Unified, Live-Invalidating Forensic DAG: No open-source CV assurance platform combines (a) perceptual + deep embedding dataset screening, (b) a fast black-box trigger-consistency probe that gates white-box activation/spectral analysis under a strict compute budget, and (c) ECDSA-signed inference binding with real-time DAG invalidation when upstream dataset or model integrity is breached.</w:t>
            </w:r>
          </w:p>
        </w:tc>
      </w:tr>
    </w:tbl>
    <w:p>
      <w:pPr>
        <w:spacing w:before="0" w:after="80"/>
      </w:pPr>
    </w:p>
    <w:p>
      <w:pPr>
        <w:spacing w:before="0" w:after="120" w:line="276" w:lineRule="auto"/>
      </w:pPr>
      <w:r>
        <w:rPr>
          <w:rFonts w:ascii="Calibri" w:hAnsi="Calibri"/>
          <w:b/>
          <w:color w:val="2B2118"/>
          <w:sz w:val="22"/>
        </w:rPr>
        <w:t xml:space="preserve">Strategic Significance: </w:t>
      </w:r>
      <w:r>
        <w:rPr>
          <w:rFonts w:ascii="Calibri" w:hAnsi="Calibri"/>
          <w:color w:val="2B2118"/>
          <w:sz w:val="22"/>
        </w:rPr>
        <w:t>Why this gap matters and why solving it completes VISENTRA:</w:t>
      </w:r>
    </w:p>
    <w:p>
      <w:pPr>
        <w:pStyle w:val="ListBullet"/>
        <w:spacing w:before="20" w:after="80" w:line="276" w:lineRule="auto"/>
      </w:pPr>
      <w:r>
        <w:rPr>
          <w:rFonts w:ascii="Calibri" w:hAnsi="Calibri"/>
          <w:b/>
          <w:color w:val="2B2118"/>
          <w:sz w:val="22"/>
        </w:rPr>
        <w:t xml:space="preserve">Unifies Two Disjoint Security Paradigms: </w:t>
      </w:r>
      <w:r>
        <w:rPr>
          <w:rFonts w:ascii="Calibri" w:hAnsi="Calibri"/>
          <w:color w:val="2B2118"/>
          <w:sz w:val="22"/>
        </w:rPr>
        <w:t>Bridges cryptographic provenance and adversarial ML forensics into a single verifiable state machine where binary tampering and behavioral Trojans are tracked on the exact same dependency graph.</w:t>
      </w:r>
    </w:p>
    <w:p>
      <w:pPr>
        <w:pStyle w:val="ListBullet"/>
        <w:spacing w:before="20" w:after="80" w:line="276" w:lineRule="auto"/>
      </w:pPr>
      <w:r>
        <w:rPr>
          <w:rFonts w:ascii="Calibri" w:hAnsi="Calibri"/>
          <w:b/>
          <w:color w:val="2B2118"/>
          <w:sz w:val="22"/>
        </w:rPr>
        <w:t xml:space="preserve">Directly Fixes the Unfinished Prototype: </w:t>
      </w:r>
      <w:r>
        <w:rPr>
          <w:rFonts w:ascii="Calibri" w:hAnsi="Calibri"/>
          <w:color w:val="2B2118"/>
          <w:sz w:val="22"/>
        </w:rPr>
        <w:t>Resolves the exact engineering shortcuts in Visentra.zip by replacing synthetic fallbacks with a fast, deterministic Stage-1 Black-Box Probe + Stage-2 White-Box Activation/Spectral Escalation.</w:t>
      </w:r>
    </w:p>
    <w:p>
      <w:pPr>
        <w:pStyle w:val="ListBullet"/>
        <w:spacing w:before="20" w:after="80" w:line="276" w:lineRule="auto"/>
      </w:pPr>
      <w:r>
        <w:rPr>
          <w:rFonts w:ascii="Calibri" w:hAnsi="Calibri"/>
          <w:b/>
          <w:color w:val="2B2118"/>
          <w:sz w:val="22"/>
        </w:rPr>
        <w:t xml:space="preserve">Empirically Falsifiable: </w:t>
      </w:r>
      <w:r>
        <w:rPr>
          <w:rFonts w:ascii="Calibri" w:hAnsi="Calibri"/>
          <w:color w:val="2B2118"/>
          <w:sz w:val="22"/>
        </w:rPr>
        <w:t>Produces clean quantitative metrics: either the hybrid four-pillar assurance pipeline achieves higher attack recall per second of verification compute and catches 100% of retroactive weight/input tampering, or the hypothesis is refuted.</w:t>
      </w:r>
    </w:p>
    <w:p>
      <w:pPr>
        <w:keepNext/>
        <w:spacing w:before="320" w:after="120"/>
        <w:pBdr>
          <w:bottom w:val="single" w:sz="6" w:space="3" w:color="C9A227"/>
        </w:pBdr>
      </w:pPr>
      <w:r>
        <w:rPr>
          <w:rFonts w:ascii="Calibri" w:hAnsi="Calibri"/>
          <w:b/>
          <w:color w:val="5C1A2B"/>
          <w:sz w:val="32"/>
        </w:rPr>
        <w:t>4. Deep Forensic Audit of the Unfinished Visentra.zip Codebase</w:t>
      </w:r>
    </w:p>
    <w:p>
      <w:pPr>
        <w:spacing w:before="0" w:after="120" w:line="276" w:lineRule="auto"/>
      </w:pPr>
      <w:r>
        <w:rPr>
          <w:rFonts w:ascii="Calibri" w:hAnsi="Calibri"/>
          <w:color w:val="2B2118"/>
          <w:sz w:val="22"/>
        </w:rPr>
        <w:t>Before formulating the mathematical architecture and remediation code, we present a rigorous forensic audit of the attached Visentra.zip archive. Every Python router, SQLAlchemy model, React/TypeScript component, SQLite database table (visentra.db), and content-addressed storage artifact was inspected directly in the sandbox environment.</w:t>
      </w:r>
    </w:p>
    <w:p>
      <w:pPr>
        <w:keepNext/>
        <w:spacing w:before="240" w:after="80"/>
      </w:pPr>
      <w:r>
        <w:rPr>
          <w:rFonts w:ascii="Calibri" w:hAnsi="Calibri"/>
          <w:b/>
          <w:color w:val="2B2118"/>
          <w:sz w:val="26"/>
        </w:rPr>
        <w:t>4.1 Repository Topology, Database State (visentra.db), and Storage Inspection</w:t>
      </w:r>
    </w:p>
    <w:p>
      <w:pPr>
        <w:spacing w:before="0" w:after="120" w:line="276" w:lineRule="auto"/>
      </w:pPr>
      <w:r>
        <w:rPr>
          <w:rFonts w:ascii="Calibri" w:hAnsi="Calibri"/>
          <w:color w:val="2B2118"/>
          <w:sz w:val="22"/>
        </w:rPr>
        <w:t>The repository contains 61 source and configuration files organized across backend/ (FastAPI, SQLAlchemy, assurance engines), frontend/ (React 19, TypeScript, Vite, @xyflow/react), scripts/ (seed_demo.py, demo_ids.json), infra/ (docker-compose.yml), docs/ (assurance-report-template.md and 6 UI screenshots), and a pre-populated SQLite database (visentra.db, 69,632 bytes) paired with local content-addressed files under storage/.</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160"/>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Database Table / Storage Path</w:t>
            </w:r>
          </w:p>
        </w:tc>
        <w:tc>
          <w:tcPr>
            <w:tcW w:type="dxa" w:w="1440"/>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Row / File Count in Zip</w:t>
            </w:r>
          </w:p>
        </w:tc>
        <w:tc>
          <w:tcPr>
            <w:tcW w:type="dxa" w:w="316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Actual Inspected State in visentra.db &amp; storage/</w:t>
            </w:r>
          </w:p>
        </w:tc>
        <w:tc>
          <w:tcPr>
            <w:tcW w:type="dxa" w:w="259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Forensic Audit Verdict</w:t>
            </w:r>
          </w:p>
        </w:tc>
      </w:tr>
      <w:tr>
        <w:trPr>
          <w:cantSplit/>
        </w:trPr>
        <w:tc>
          <w:tcPr>
            <w:tcW w:type="dxa" w:w="216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contributor (Table)</w:t>
            </w:r>
          </w:p>
        </w:tc>
        <w:tc>
          <w:tcPr>
            <w:tcW w:type="dxa" w:w="144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2 rows</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Row 1: id='a30c61d9...', name='Test' (2026-09-27 20:08:04)</w:t>
              <w:br/>
              <w:t>Row 2: id='5bb661d0...', name='VISENTRA Demo' (2026-09-27 20:15:46)</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FUNCTIONAL: Matches scripts/demo_ids.json.</w:t>
            </w:r>
          </w:p>
        </w:tc>
      </w:tr>
      <w:tr>
        <w:trPr>
          <w:cantSplit/>
        </w:trPr>
        <w:tc>
          <w:tcPr>
            <w:tcW w:type="dxa" w:w="216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dataset (Table) &amp; storage/datasets/</w:t>
            </w:r>
          </w:p>
        </w:tc>
        <w:tc>
          <w:tcPr>
            <w:tcW w:type="dxa" w:w="144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 row / 1 file (2,053 B)</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Row: id='394071fd...', version='1.0', status='verified', sha256='80206b25...'</w:t>
              <w:br/>
              <w:t>File: Valid ZIP archive containing 10 solid-color 64x64 PNGs (image_00.png to image_09.png).</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PARTIAL BUG: ZIP file stored as a single raw blob named by SHA-256, never unzipped on upload.</w:t>
            </w:r>
          </w:p>
        </w:tc>
      </w:tr>
      <w:tr>
        <w:trPr>
          <w:cantSplit/>
        </w:trPr>
        <w:tc>
          <w:tcPr>
            <w:tcW w:type="dxa" w:w="216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dataset_sample (Table)</w:t>
            </w:r>
          </w:p>
        </w:tc>
        <w:tc>
          <w:tcPr>
            <w:tcW w:type="dxa" w:w="144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0 rows (EMPTY)</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Columns: [id, dataset_id, path, phash, embedding_ref, flags]. Zero rows inserted during dataset upload or demo seeding.</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UNFINISHED: Because ZIP is never unpacked into dataset_sample rows, _collect_images() finds 0 images!</w:t>
            </w:r>
          </w:p>
        </w:tc>
      </w:tr>
      <w:tr>
        <w:trPr>
          <w:cantSplit/>
        </w:trPr>
        <w:tc>
          <w:tcPr>
            <w:tcW w:type="dxa" w:w="216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finding (Table)</w:t>
            </w:r>
          </w:p>
        </w:tc>
        <w:tc>
          <w:tcPr>
            <w:tcW w:type="dxa" w:w="144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0 rows (EMPTY)</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Columns: [id, artifact_type, artifact_id, check_type, evidence_json, severity, created_at]. Empty in seeded DB.</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UNFINISHED: Dataset analyze endpoint was never called in seed_demo.py; when called on zipped blob, finds 0 images.</w:t>
            </w:r>
          </w:p>
        </w:tc>
      </w:tr>
      <w:tr>
        <w:trPr>
          <w:cantSplit/>
        </w:trPr>
        <w:tc>
          <w:tcPr>
            <w:tcW w:type="dxa" w:w="216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model (Table) &amp; storage/models/</w:t>
            </w:r>
          </w:p>
        </w:tc>
        <w:tc>
          <w:tcPr>
            <w:tcW w:type="dxa" w:w="144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 row / 1 file (1,024 B)</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Row: id='0a1de9e0...', version='1.0', framework='onnx', arch_fingerprint='unknown', status='suspicious'.</w:t>
              <w:br/>
              <w:t>File: 1,024 random bytes (tampered / os.urandom), NOT a valid ONNX protobuf.</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MOCKED: _make_tiny_onnx() in seed_demo.py simply returns os.urandom(4096); arch_fingerprint always fails to 'unknown'.</w:t>
            </w:r>
          </w:p>
        </w:tc>
      </w:tr>
      <w:tr>
        <w:trPr>
          <w:cantSplit/>
        </w:trPr>
        <w:tc>
          <w:tcPr>
            <w:tcW w:type="dxa" w:w="216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backdoor_finding &amp; storage/evidence/</w:t>
            </w:r>
          </w:p>
        </w:tc>
        <w:tc>
          <w:tcPr>
            <w:tcW w:type="dxa" w:w="144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4 rows / 4 JSON files</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checkerboard_16px (conf=0.858, consistency=0.91, anomaly=0.78, target=7); white_square_12px (0.0943); red_square_12px (0.075); red_cross_10px (0.0468). Evidence JSONs have total_pairs_tested: 0, flips: [].</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MOCKED FALLBACK: Generated by _synthetic_scan() using random.Random(42) because model is random bytes and sample_images=[]!</w:t>
            </w:r>
          </w:p>
        </w:tc>
      </w:tr>
      <w:tr>
        <w:trPr>
          <w:cantSplit/>
        </w:trPr>
        <w:tc>
          <w:tcPr>
            <w:tcW w:type="dxa" w:w="216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inference (Table) &amp; storage/inference/</w:t>
            </w:r>
          </w:p>
        </w:tc>
        <w:tc>
          <w:tcPr>
            <w:tcW w:type="dxa" w:w="144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0 rows / Dir missing</w:t>
            </w:r>
          </w:p>
        </w:tc>
        <w:tc>
          <w:tcPr>
            <w:tcW w:type="dxa" w:w="31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Columns: [id, model_id, input_sha256, config_sha256, output, confidence, timestamp, signature, status]. Zero rows in DB.</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UNSEEDED &amp; PARTIAL: Endpoint exists in inference.py, but seed_demo.py never creates an inference record, and signature is never populated.</w:t>
            </w:r>
          </w:p>
        </w:tc>
      </w:tr>
      <w:tr>
        <w:trPr>
          <w:cantSplit/>
        </w:trPr>
        <w:tc>
          <w:tcPr>
            <w:tcW w:type="dxa" w:w="216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audit_log (Table)</w:t>
            </w:r>
          </w:p>
        </w:tc>
        <w:tc>
          <w:tcPr>
            <w:tcW w:type="dxa" w:w="144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0 rows (EMPTY)</w:t>
            </w:r>
          </w:p>
        </w:tc>
        <w:tc>
          <w:tcPr>
            <w:tcW w:type="dxa" w:w="31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Columns: [id, actor, action, artifact_id, before, after, timestamp]. Zero references to AuditLog anywhere in backend/api/*.py except unused import in report.py.</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UNIMPLEMENTED: Schema exists in models.py, but zero API endpoints write to audit_log.</w:t>
            </w:r>
          </w:p>
        </w:tc>
      </w:tr>
    </w:tbl>
    <w:p>
      <w:pPr>
        <w:spacing w:before="0" w:after="80"/>
      </w:pPr>
    </w:p>
    <w:p>
      <w:pPr>
        <w:keepNext/>
        <w:spacing w:before="240" w:after="80"/>
      </w:pPr>
      <w:r>
        <w:rPr>
          <w:rFonts w:ascii="Calibri" w:hAnsi="Calibri"/>
          <w:b/>
          <w:color w:val="2B2118"/>
          <w:sz w:val="26"/>
        </w:rPr>
        <w:t>4.2 Module-by-Module Completion Matrix (Real vs. Synthetic vs. Missing)</w:t>
      </w:r>
    </w:p>
    <w:p>
      <w:pPr>
        <w:spacing w:before="0" w:after="120" w:line="276" w:lineRule="auto"/>
      </w:pPr>
      <w:r>
        <w:rPr>
          <w:rFonts w:ascii="Calibri" w:hAnsi="Calibri"/>
          <w:color w:val="2B2118"/>
          <w:sz w:val="22"/>
        </w:rPr>
        <w:t>Figure 1 synthesizes the quantitative completeness audit across all eight core subsystems of VISENTRA alongside the exact four-pillar scoring behavior observed in visentra.db.</w:t>
      </w:r>
    </w:p>
    <w:p>
      <w:pPr>
        <w:keepNext/>
        <w:spacing w:before="120" w:after="60"/>
        <w:jc w:val="center"/>
      </w:pPr>
      <w:r>
        <w:drawing>
          <wp:inline xmlns:a="http://schemas.openxmlformats.org/drawingml/2006/main" xmlns:pic="http://schemas.openxmlformats.org/drawingml/2006/picture">
            <wp:extent cx="5852160" cy="2112585"/>
            <wp:docPr id="1" name="Picture 1"/>
            <wp:cNvGraphicFramePr>
              <a:graphicFrameLocks noChangeAspect="1"/>
            </wp:cNvGraphicFramePr>
            <a:graphic>
              <a:graphicData uri="http://schemas.openxmlformats.org/drawingml/2006/picture">
                <pic:pic>
                  <pic:nvPicPr>
                    <pic:cNvPr id="0" name="fig1_codebase_audit.png"/>
                    <pic:cNvPicPr/>
                  </pic:nvPicPr>
                  <pic:blipFill>
                    <a:blip r:embed="rId9"/>
                    <a:stretch>
                      <a:fillRect/>
                    </a:stretch>
                  </pic:blipFill>
                  <pic:spPr>
                    <a:xfrm>
                      <a:off x="0" y="0"/>
                      <a:ext cx="5852160" cy="2112585"/>
                    </a:xfrm>
                    <a:prstGeom prst="rect"/>
                  </pic:spPr>
                </pic:pic>
              </a:graphicData>
            </a:graphic>
          </wp:inline>
        </w:drawing>
      </w:r>
    </w:p>
    <w:p>
      <w:pPr>
        <w:spacing w:before="0" w:after="160"/>
        <w:jc w:val="center"/>
      </w:pPr>
      <w:r>
        <w:rPr>
          <w:rFonts w:ascii="Calibri" w:hAnsi="Calibri"/>
          <w:i/>
          <w:color w:val="5B5750"/>
          <w:sz w:val="19"/>
        </w:rPr>
        <w:t>Figure 1: (A) Forensic codebase audit breaking down each VISENTRA subsystem into real functional code, synthetic/hardcoded fallbacks, and missing wiring. (B) Composite assurance score behavior in visentra.db across clean, suspicious (seeded), and post-tamper states.</w:t>
      </w:r>
    </w:p>
    <w:p>
      <w:pPr>
        <w:keepNext/>
        <w:spacing w:before="240" w:after="80"/>
      </w:pPr>
      <w:r>
        <w:rPr>
          <w:rFonts w:ascii="Calibri" w:hAnsi="Calibri"/>
          <w:b/>
          <w:color w:val="2B2118"/>
          <w:sz w:val="26"/>
        </w:rPr>
        <w:t>4.3 The 14-Point Defect &amp; Discrepancy Ledger in Visentra.zip</w:t>
      </w:r>
    </w:p>
    <w:p>
      <w:pPr>
        <w:spacing w:before="0" w:after="120" w:line="276" w:lineRule="auto"/>
      </w:pPr>
      <w:r>
        <w:rPr>
          <w:rFonts w:ascii="Calibri" w:hAnsi="Calibri"/>
          <w:color w:val="2B2118"/>
          <w:sz w:val="22"/>
        </w:rPr>
        <w:t>To ensure zero ambiguity during project completion, the table below catalogs all 14 concrete bugs, mock fallbacks, and architectural discrepancies discovered during our deep inspection of the backend and frontend source files.</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79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ID</w:t>
            </w:r>
          </w:p>
        </w:tc>
        <w:tc>
          <w:tcPr>
            <w:tcW w:type="dxa" w:w="223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File &amp; Line Reference</w:t>
            </w:r>
          </w:p>
        </w:tc>
        <w:tc>
          <w:tcPr>
            <w:tcW w:type="dxa" w:w="403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Defect / Unfinished Behavior Discovered</w:t>
            </w:r>
          </w:p>
        </w:tc>
        <w:tc>
          <w:tcPr>
            <w:tcW w:type="dxa" w:w="2304"/>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Severity &amp; Impact</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D-01</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backend/api/datasets.py (L45–71) &amp; dataset_assurance.py (L22–33)</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upload_dataset() saves the uploaded .zip file as a single binary blob at storage/datasets/{sha256} without extracting images or inserting DatasetSample rows. When analyze_dataset() runs _collect_images(), it searches for .jpg/.png/.bmp files, finds 0 files because the archive has no extension and is unextracted, and returns total_samples_checked=0, duplicate_pairs=0, ood_flagged=0.</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CRITICAL: Dataset Inspector returns empty findings on uploaded ZIP archives.</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D-02</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scripts/seed_demo.py (L96–104) &amp; backend/api/models.py (L30–45)</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_make_tiny_onnx() docstring claims to create a MatMul ONNX model via protobuf, but the body is literally a 1-liner: 'return os.urandom(4096)'. Consequently, onnx.load() and onnxruntime.InferenceSession() always fail on the seeded model, setting arch_fingerprint='unknown' and forcing _synthetic_scan() and synthetic inference.</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CRITICAL: No real neural network inference or backdoor testing occurs in the seeded demo.</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D-03</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backend/assurance/model/backdoor.py (L119–196)</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Because model loading fails (D-02) and sample_images is empty (D-01), _synthetic_scan() runs with sample_images=[]. This hardcodes checkerboard_16px confidence=0.858, but writes total_pairs_tested=0 and flips=[] into storage/evidence/*.json. In ModelInterrogationPanel.tsx (L128), topFlip = selectedFinding?.evidence?.flips?.[0] is always undefined, so the 'Pairwise Prediction Flip Evidence' UI block never renders!</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HIGH: The centerpiece before/after image comparison in the Interrogation Room is hidden in the seeded app.</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D-04</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backend/assurance/data/dataset_checks.py (L59–91)</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_extract_embedding() docstring claims: 'Extract a lightweight 512-dim embedding using a pre-built MobileNetV2-style feature extractor via ONNX'. In reality, it resizes the image to 64x64 and concatenates a 3x32=96-bin BGR color histogram (cv2.calcHist), which is completely blind to structural/semantic OOD anomalies that share background color distributions.</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HIGH: OOD detection relies on naive color histograms rather than deep spatial representations.</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D-05</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backend/api/inference.py (L122–131) &amp; InferenceEvidencePanel.tsx (L145)</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Inference model in db/models.py defines a 'signature = Column(Text)' field, and InferenceEvidencePanel.tsx (L145) hardcodes a green text label: 'VALID ECDSA-SHA256 ✓'. However, run_inference() in inference.py never computes or stores any HMAC or ECDSA signature (inference.signature is always NULL), nor does reverify_inference() check it.</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HIGH: Cryptographic non-repudiation is visually faked in the UI without backend signing.</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D-06</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VISENTRA_Implementation_Plan.md (§2, §3) vs. backend/</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The implementation plan specifies a dedicated 'backend/sandbox/' module that executes untrusted PyTorch/ONNX models inside a resource-limited subprocess with no network or filesystem access. The directory backend/sandbox/ does not exist at all; models are loaded directly inside the main FastAPI event loop process.</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HIGH: Arbitrary code execution risk (especially via torch.load pickle deserialization in models.py L41).</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D-07</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backend/api/models.py (L111–137) &amp; LineageGraph.tsx (L151–175)</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VISENTRA_Implementation_Plan.md (§6 Phase 3) and UIUX_Plan (§5.6) specify that when a parent model is tampered and verified, the backend must re-evaluate dependent inferences and emit staggered (~150ms) WebSocket messages so red status cascades down inference edges. Currently, verify_model() only broadcasts a single model status message; dependent inferences remain 'ok' unless manually reverified one by one.</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MEDIUM-HIGH: The signature 'live cascade propagation' across downstream inference nodes is incomplete.</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D-08</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frontend/src/interrogation/ModelInterrogationPanel.tsx (L75–87) &amp; models.py (L111–137)</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verify_model() returns ModelOut with the original registered model.sha256, not the newly computed corrupted disk hash. Even worse, when a file is missing, verify_model() raises HTTP 422, causing ModelInterrogationPanel.tsx (L81) to catch the error and hardcode a fake hex string: 'f000deadbeefcorrupted' + model.sha256.slice(20)!</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MEDIUM-HIGH: Character-by-character HashDiff displays a hardcoded 'f000deadbeefcorrupted' string on error instead of the real disk SHA-256.</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D-09</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frontend/src/graph/GraphToolbar.tsx &amp; LineageGraph.tsx</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In the current light-mode forensic UI rewrite, the left sidebar with 'Upload Dataset', 'Upload Model', and 'Create Contributor' forms (visible in the older dark-mode docs/images/01_lineage_graph_overview.png) was removed per the new UIUX plan, but no upload modal or toolbar triggers were added to replace them, leaving the user with no UI button to upload new datasets, models, or run new inferences.</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MEDIUM-HIGH: Users cannot ingest new artifacts from the UI without using curl/Swagger.</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D-10</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backend/api/chain.py (L46–55) &amp; db/models.py</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In get_chain(), both Dataset nodes and Model nodes connect directly from Contributor (Contributor -&gt; Dataset and Contributor -&gt; Model), rather than linking Dataset -&gt; Model to form a true 4-tier lineage chain (Contributor -&gt; Dataset -&gt; Model -&gt; Inference). Model lacks a dataset_id foreign key in db/models.py.</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MEDIUM: Lineage graph branches Contributor into parallel Dataset and Model nodes instead of a sequential pipeline chain.</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D-11</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backend/db/models.py (L116–128) &amp; backend/api/*.py</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The AuditLog table is created in the database with index ix_audit_artifact_time, but zero API endpoints ever insert an AuditLog record when datasets/models are uploaded, verified, tampered, or scanned.</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MEDIUM: Persistent forensic audit trail is non-functional.</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D-12</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frontend/src/evidence/InferenceEvidencePanel.tsx (L109)</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In the Inference Cryptographic Ledger, the row labeled 'model_hash' passes value={record?.model_id} instead of the actual SHA-256 digest of the model recorded in the evidence JSON (evidence.model_sha256).</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LOW-MEDIUM: UI displays model UUID where model SHA-256 hash is expected.</w:t>
            </w:r>
          </w:p>
        </w:tc>
      </w:tr>
      <w:tr>
        <w:trPr>
          <w:cantSplit/>
        </w:trPr>
        <w:tc>
          <w:tcPr>
            <w:tcW w:type="dxa" w:w="7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D-13</w:t>
            </w:r>
          </w:p>
        </w:tc>
        <w:tc>
          <w:tcPr>
            <w:tcW w:type="dxa" w:w="22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backend/api/report.py (L91–103)</w:t>
            </w:r>
          </w:p>
        </w:tc>
        <w:tc>
          <w:tcPr>
            <w:tcW w:type="dxa" w:w="40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When a model has status='suspicious' (from a backdoor scan), m_verified is 0, so m_score starts at 0.0 and is clamped at 0.0. Meanwhile bd_score is also penalized (100 - 0.858*120 = 0.0). Thus a single suspicious backdoor scan zeroes out BOTH Model Integrity (0/100, 30% weight) and Backdoor Screening (0/100, 25% weight), even when the model's SHA-256 binary hash is 100% intact!</w:t>
            </w:r>
          </w:p>
        </w:tc>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MEDIUM: Double-counting penalty conflates Pillar II (Binary Hash Integrity) with Pillar III (Backdoor Screening).</w:t>
            </w:r>
          </w:p>
        </w:tc>
      </w:tr>
      <w:tr>
        <w:trPr>
          <w:cantSplit/>
        </w:trPr>
        <w:tc>
          <w:tcPr>
            <w:tcW w:type="dxa" w:w="7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D-14</w:t>
            </w:r>
          </w:p>
        </w:tc>
        <w:tc>
          <w:tcPr>
            <w:tcW w:type="dxa" w:w="22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alembic.ini vs. backend/db/migrations</w:t>
            </w:r>
          </w:p>
        </w:tc>
        <w:tc>
          <w:tcPr>
            <w:tcW w:type="dxa" w:w="40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alembic.ini points script_location = backend/db/migrations, which does not exist in the repository; schema creation relies solely on Base.metadata.create_all in main.py lifespan.</w:t>
            </w:r>
          </w:p>
        </w:tc>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LOW: Schema migrations cannot be versioned via Alembic without initializing the migrations directory.</w:t>
            </w:r>
          </w:p>
        </w:tc>
      </w:tr>
    </w:tbl>
    <w:p>
      <w:pPr>
        <w:spacing w:before="0" w:after="80"/>
      </w:pPr>
    </w:p>
    <w:p>
      <w:pPr>
        <w:spacing w:before="0" w:after="120" w:line="276" w:lineRule="auto"/>
      </w:pPr>
      <w:r>
        <w:rPr>
          <w:rFonts w:ascii="Calibri" w:hAnsi="Calibri"/>
          <w:color w:val="2B2118"/>
          <w:sz w:val="22"/>
        </w:rPr>
        <w:t>Furthermore, inspecting docs/images/ inside Visentra.zip reveals an important historical evolution: Screenshots 01 and 06 (e.g., 01_lineage_graph_overview.png) were captured from an earlier dark-navy iteration of the UI that had a left upload sidebar and a modal card report, whereas Screenshots 02–05 and the actual React code in frontend/src/ implement the newer 'Warm Paper Forensic Instrument' specification (VISENTRA_UIUX_Implementation_Plan.md) with bone canvas (#F7F5F0), hairline borders (#DCD8CC), and 70–85% slide-over drill-down panels.</w:t>
      </w:r>
    </w:p>
    <w:p>
      <w:pPr>
        <w:keepNext/>
        <w:spacing w:before="120" w:after="60"/>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04_dataset_inspector_near_duplicates.png"/>
                    <pic:cNvPicPr/>
                  </pic:nvPicPr>
                  <pic:blipFill>
                    <a:blip r:embed="rId10"/>
                    <a:stretch>
                      <a:fillRect/>
                    </a:stretch>
                  </pic:blipFill>
                  <pic:spPr>
                    <a:xfrm>
                      <a:off x="0" y="0"/>
                      <a:ext cx="5303520" cy="2519172"/>
                    </a:xfrm>
                    <a:prstGeom prst="rect"/>
                  </pic:spPr>
                </pic:pic>
              </a:graphicData>
            </a:graphic>
          </wp:inline>
        </w:drawing>
      </w:r>
    </w:p>
    <w:p>
      <w:pPr>
        <w:spacing w:before="0" w:after="160"/>
        <w:jc w:val="center"/>
      </w:pPr>
      <w:r>
        <w:rPr>
          <w:rFonts w:ascii="Calibri" w:hAnsi="Calibri"/>
          <w:i/>
          <w:color w:val="5B5750"/>
          <w:sz w:val="19"/>
        </w:rPr>
        <w:t>Figure 2: Extracted repository screenshot (docs/images/04_dataset_inspector_near_duplicates.png) showing the implemented Warm-Paper Forensic Instrument UI for the Dataset Inspector panel.</w:t>
      </w:r>
    </w:p>
    <w:p>
      <w:pPr>
        <w:keepNext/>
        <w:spacing w:before="320" w:after="120"/>
        <w:pBdr>
          <w:bottom w:val="single" w:sz="6" w:space="3" w:color="C9A227"/>
        </w:pBdr>
      </w:pPr>
      <w:r>
        <w:rPr>
          <w:rFonts w:ascii="Calibri" w:hAnsi="Calibri"/>
          <w:b/>
          <w:color w:val="5C1A2B"/>
          <w:sz w:val="32"/>
        </w:rPr>
        <w:t>5. Research Questions and Falsifiable Hypotheses</w:t>
      </w:r>
    </w:p>
    <w:p>
      <w:pPr>
        <w:spacing w:before="0" w:after="120" w:line="276" w:lineRule="auto"/>
      </w:pPr>
      <w:r>
        <w:rPr>
          <w:rFonts w:ascii="Calibri" w:hAnsi="Calibri"/>
          <w:color w:val="2B2118"/>
          <w:sz w:val="22"/>
        </w:rPr>
        <w:t>To elevate VISENTRA from a hackathon prototype into a rigorous research and systems contribution (matching the scientific framing of the GateOrchestra blueprint), we formulate three falsifiable research questions addressing the intersection of cryptographic provenance and budgeted neural Trojan interrogation:</w:t>
      </w:r>
    </w:p>
    <w:p>
      <w:pPr>
        <w:keepNext/>
        <w:spacing w:before="240" w:after="80"/>
      </w:pPr>
      <w:r>
        <w:rPr>
          <w:rFonts w:ascii="Calibri" w:hAnsi="Calibri"/>
          <w:b/>
          <w:color w:val="2B2118"/>
          <w:sz w:val="26"/>
        </w:rPr>
        <w:t>RQ1 — Two-Stage Budgeted Trojan Gating</w:t>
      </w:r>
    </w:p>
    <w:p>
      <w:pPr>
        <w:spacing w:before="0" w:after="120" w:line="276" w:lineRule="auto"/>
      </w:pPr>
      <w:r>
        <w:rPr>
          <w:rFonts w:ascii="Calibri" w:hAnsi="Calibri"/>
          <w:color w:val="2B2118"/>
          <w:sz w:val="22"/>
        </w:rPr>
        <w:t>Can a fast, black-box spatial trigger-consistency probe (Stage 1, &lt;500 ms compute budget) combined with input-superimposition entropy (STRIP-lite) accurately gate when to escalate a model checkpoint to expensive white-box penultimate activation clustering and spectral signature decomposition (Stage 2), achieving &gt;=90% Trojan detection recall at &lt;=25% of the compute cost of full white-box optimization (Neural Cleanse)?</w:t>
      </w:r>
    </w:p>
    <w:p>
      <w:pPr>
        <w:keepNext/>
        <w:spacing w:before="240" w:after="80"/>
      </w:pPr>
      <w:r>
        <w:rPr>
          <w:rFonts w:ascii="Calibri" w:hAnsi="Calibri"/>
          <w:b/>
          <w:color w:val="2B2118"/>
          <w:sz w:val="26"/>
        </w:rPr>
        <w:t>RQ2 — Joint Perceptual-Representational Dataset Screening</w:t>
      </w:r>
    </w:p>
    <w:p>
      <w:pPr>
        <w:spacing w:before="0" w:after="120" w:line="276" w:lineRule="auto"/>
      </w:pPr>
      <w:r>
        <w:rPr>
          <w:rFonts w:ascii="Calibri" w:hAnsi="Calibri"/>
          <w:color w:val="2B2118"/>
          <w:sz w:val="22"/>
        </w:rPr>
        <w:t>Does combining 64-bit DCT perceptual hashing (d_H &lt;= 8) with class-conditional Mahalanobis distance and Isolation Forest over pretrained MobileNetV2 512-D embeddings detect both duplicate poison-amplification and clean-label/semantic OOD samples significantly better (Delta AUROC &gt;= +18 points) than color-histogram Isolation Forest or perceptual hashing alone?</w:t>
      </w:r>
    </w:p>
    <w:p>
      <w:pPr>
        <w:keepNext/>
        <w:spacing w:before="240" w:after="80"/>
      </w:pPr>
      <w:r>
        <w:rPr>
          <w:rFonts w:ascii="Calibri" w:hAnsi="Calibri"/>
          <w:b/>
          <w:color w:val="2B2118"/>
          <w:sz w:val="26"/>
        </w:rPr>
        <w:t>RQ3 — Cryptographic Lineage Coupling &amp; Cascade Non-Repudiation</w:t>
      </w:r>
    </w:p>
    <w:p>
      <w:pPr>
        <w:spacing w:before="0" w:after="120" w:line="276" w:lineRule="auto"/>
      </w:pPr>
      <w:r>
        <w:rPr>
          <w:rFonts w:ascii="Calibri" w:hAnsi="Calibri"/>
          <w:color w:val="2B2118"/>
          <w:sz w:val="22"/>
        </w:rPr>
        <w:t>Does binding the full provenance tuple (Dataset Merkle Root D_root, Model SHA-256 + Graph Fingerprint M_fp, Input SHA-256 I_hash, Config SHA-256 C_hash, and Output Logit Vector y_hat) under an Ed25519/ECDSA digital signature enable 100% deterministic detection of post-hoc weight bitflips, model-swap attacks, and unverified replay predictions with sub-50ms re-verification latency?</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Primary Falsifiable Hypothesis (H1)</w:t>
            </w:r>
          </w:p>
          <w:p>
            <w:pPr>
              <w:spacing w:before="20" w:after="40" w:line="276" w:lineRule="auto"/>
            </w:pPr>
            <w:r>
              <w:rPr>
                <w:rFonts w:ascii="Calibri" w:hAnsi="Calibri"/>
                <w:color w:val="2B2118"/>
                <w:sz w:val="21"/>
              </w:rPr>
              <w:t>H1: On VisentraBench-180 (a controlled benchmark of 180 CV supply-chain pipelines spanning clean, bit-flipped, BadNets patch-trojaned, blended-trigger, and dataset-poisoned states), VISENTRA-Complete's two-stage assurance engine will detect &gt;=92% of compromised pipelines while reducing mean per-checkpoint verification latency by &gt;=85% compared to full Neural Cleanse optimization, and will achieve 100% precision/recall on retroactive weight-tamper cascade invalidation across dependent inference records.</w:t>
            </w:r>
          </w:p>
        </w:tc>
      </w:tr>
    </w:tbl>
    <w:p>
      <w:pPr>
        <w:spacing w:before="0" w:after="80"/>
      </w:pPr>
    </w:p>
    <w:p>
      <w:pPr>
        <w:keepNext/>
        <w:spacing w:before="320" w:after="120"/>
        <w:pBdr>
          <w:bottom w:val="single" w:sz="6" w:space="3" w:color="C9A227"/>
        </w:pBdr>
      </w:pPr>
      <w:r>
        <w:rPr>
          <w:rFonts w:ascii="Calibri" w:hAnsi="Calibri"/>
          <w:b/>
          <w:color w:val="5C1A2B"/>
          <w:sz w:val="32"/>
        </w:rPr>
        <w:t>6. Proposed System: VISENTRA-Complete</w:t>
      </w:r>
    </w:p>
    <w:p>
      <w:pPr>
        <w:spacing w:before="0" w:after="120" w:line="276" w:lineRule="auto"/>
      </w:pPr>
      <w:r>
        <w:rPr>
          <w:rFonts w:ascii="Calibri" w:hAnsi="Calibri"/>
          <w:color w:val="2B2118"/>
          <w:sz w:val="22"/>
        </w:rPr>
        <w:t>VISENTRA-Complete preserves the clean four-pillar architecture and forensic lab UI of the existing codebase while replacing every synthetic fallback with a true, mathematically grounded verification engine and a two-stage compute-budgeted backdoor escalation gate.</w:t>
      </w:r>
    </w:p>
    <w:p>
      <w:pPr>
        <w:keepNext/>
        <w:spacing w:before="240" w:after="80"/>
      </w:pPr>
      <w:r>
        <w:rPr>
          <w:rFonts w:ascii="Calibri" w:hAnsi="Calibri"/>
          <w:b/>
          <w:color w:val="2B2118"/>
          <w:sz w:val="26"/>
        </w:rPr>
        <w:t>6.1 Core Operational Principles</w:t>
      </w:r>
    </w:p>
    <w:p>
      <w:pPr>
        <w:pStyle w:val="ListBullet"/>
        <w:spacing w:before="20" w:after="80" w:line="276" w:lineRule="auto"/>
      </w:pPr>
      <w:r>
        <w:rPr>
          <w:rFonts w:ascii="Calibri" w:hAnsi="Calibri"/>
          <w:b/>
          <w:color w:val="2B2118"/>
          <w:sz w:val="22"/>
        </w:rPr>
        <w:t xml:space="preserve">1. Content-Addressed Merkle Dataset Intake: </w:t>
      </w:r>
      <w:r>
        <w:rPr>
          <w:rFonts w:ascii="Calibri" w:hAnsi="Calibri"/>
          <w:color w:val="2B2118"/>
          <w:sz w:val="22"/>
        </w:rPr>
        <w:t>When a dataset archive (.zip/.tar) is uploaded, VISENTRA computes both the outer archive SHA-256 and extracts individual images into content-addressed storage, computing each sample's SHA-256, 64-bit DCT pHash, and 512-D MobileNetV2 ONNX embedding, and seals the dataset with a binary Merkle Root D_root.</w:t>
      </w:r>
    </w:p>
    <w:p>
      <w:pPr>
        <w:pStyle w:val="ListBullet"/>
        <w:spacing w:before="20" w:after="80" w:line="276" w:lineRule="auto"/>
      </w:pPr>
      <w:r>
        <w:rPr>
          <w:rFonts w:ascii="Calibri" w:hAnsi="Calibri"/>
          <w:b/>
          <w:color w:val="2B2118"/>
          <w:sz w:val="22"/>
        </w:rPr>
        <w:t xml:space="preserve">2. Sandboxed Structural + Binary Model Verification: </w:t>
      </w:r>
      <w:r>
        <w:rPr>
          <w:rFonts w:ascii="Calibri" w:hAnsi="Calibri"/>
          <w:color w:val="2B2118"/>
          <w:sz w:val="22"/>
        </w:rPr>
        <w:t>Every uploaded ONNX or SafeTensors/PyTorch checkpoint is inspected inside a resource-limited subprocess sandbox (no network, read-only filesystem mount, RLIMIT_AS memory cap) to extract both its binary SHA-256 and its canonical computation-graph topological digest M_arch.</w:t>
      </w:r>
    </w:p>
    <w:p>
      <w:pPr>
        <w:pStyle w:val="ListBullet"/>
        <w:spacing w:before="20" w:after="80" w:line="276" w:lineRule="auto"/>
      </w:pPr>
      <w:r>
        <w:rPr>
          <w:rFonts w:ascii="Calibri" w:hAnsi="Calibri"/>
          <w:b/>
          <w:color w:val="2B2118"/>
          <w:sz w:val="22"/>
        </w:rPr>
        <w:t xml:space="preserve">3. Two-Stage Budgeted Trojan Interrogation: </w:t>
      </w:r>
      <w:r>
        <w:rPr>
          <w:rFonts w:ascii="Calibri" w:hAnsi="Calibri"/>
          <w:color w:val="2B2118"/>
          <w:sz w:val="22"/>
        </w:rPr>
        <w:t>Instead of running only 4 hardcoded synthetic patch triggers OR running slow white-box optimization on every checkpoint, VISENTRA runs a fast Stage-1 Black-Box Probe (multi-position spatial triggers + STRIP superimposition entropy). If the Stage-1 confidence score C_stage1 crosses an escalation threshold tau_gate (e.g., 0.18), or if entropy variance is anomalous, VISENTRA escalates to Stage-2 White-Box Interrogation (penultimate-layer PCA/ICA Activation Clustering + Spectral Signature singular value ratio).</w:t>
      </w:r>
    </w:p>
    <w:p>
      <w:pPr>
        <w:pStyle w:val="ListBullet"/>
        <w:spacing w:before="20" w:after="80" w:line="276" w:lineRule="auto"/>
      </w:pPr>
      <w:r>
        <w:rPr>
          <w:rFonts w:ascii="Calibri" w:hAnsi="Calibri"/>
          <w:b/>
          <w:color w:val="2B2118"/>
          <w:sz w:val="22"/>
        </w:rPr>
        <w:t xml:space="preserve">4. Signed Inference Ledger &amp; Live DAG Cascade: </w:t>
      </w:r>
      <w:r>
        <w:rPr>
          <w:rFonts w:ascii="Calibri" w:hAnsi="Calibri"/>
          <w:color w:val="2B2118"/>
          <w:sz w:val="22"/>
        </w:rPr>
        <w:t>Every inference execution verifies the parent model's hash prior to forward pass, binds (D_root, M_sha256, M_arch, I_sha256, C_sha256, y_hat, t_utc), signs the canonical JSON digest using an Ed25519/ECDSA private key, and streams live cascade invalidation over WebSockets if any upstream node is subsequently tampered.</w:t>
      </w:r>
    </w:p>
    <w:p>
      <w:pPr>
        <w:keepNext/>
        <w:spacing w:before="320" w:after="120"/>
        <w:pBdr>
          <w:bottom w:val="single" w:sz="6" w:space="3" w:color="C9A227"/>
        </w:pBdr>
      </w:pPr>
      <w:r>
        <w:rPr>
          <w:rFonts w:ascii="Calibri" w:hAnsi="Calibri"/>
          <w:b/>
          <w:color w:val="5C1A2B"/>
          <w:sz w:val="32"/>
        </w:rPr>
        <w:t>7. Novelty and Contribution Claims</w:t>
      </w:r>
    </w:p>
    <w:p>
      <w:pPr>
        <w:keepNext/>
        <w:spacing w:before="240" w:after="80"/>
      </w:pPr>
      <w:r>
        <w:rPr>
          <w:rFonts w:ascii="Calibri" w:hAnsi="Calibri"/>
          <w:b/>
          <w:color w:val="2B2118"/>
          <w:sz w:val="26"/>
        </w:rPr>
        <w:t>7.1 Explicit Distinction From Closest Prior Systems</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vs. in-toto / SLSA / C2PA (Cryptographic Provenance Frameworks)</w:t>
            </w:r>
          </w:p>
          <w:p>
            <w:pPr>
              <w:spacing w:before="20" w:after="80" w:line="276" w:lineRule="auto"/>
            </w:pPr>
            <w:r>
              <w:rPr>
                <w:rFonts w:ascii="Calibri" w:hAnsi="Calibri"/>
                <w:color w:val="2B2118"/>
                <w:sz w:val="21"/>
              </w:rPr>
              <w:t>in-toto (Torres-Arias et al., 2019) and C2PA verify that an artifact was produced by an authorized step and has not had its bytes altered in transit. However, they treat the ML training step as an opaque black box: if an outsourced annotator injects 5% BadNets triggers into the training zip, in-toto dutifully signs the poisoned dataset and the resulting Trojaned model as '100% Verified.'</w:t>
            </w:r>
          </w:p>
          <w:p>
            <w:pPr>
              <w:spacing w:before="20" w:after="40" w:line="276" w:lineRule="auto"/>
            </w:pPr>
            <w:r>
              <w:rPr>
                <w:rFonts w:ascii="Calibri" w:hAnsi="Calibri"/>
                <w:color w:val="2B2118"/>
                <w:sz w:val="21"/>
              </w:rPr>
              <w:t>VISENTRA couples cryptographic hash/signature verification with statistical data sanitization (Pillar I) and behavioral Trojan interrogation (Pillar III) on the same DAG, ensuring that semantic compromises invalidate deployment readiness alongside binary bitflips.</w:t>
            </w:r>
          </w:p>
        </w:tc>
      </w:tr>
    </w:tbl>
    <w:p>
      <w:pPr>
        <w:spacing w:before="0" w:after="80"/>
      </w:pP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vs. Neural Cleanse (IEEE S&amp;P 2019) &amp; BackdoorBench (NeurIPS 2022)</w:t>
            </w:r>
          </w:p>
          <w:p>
            <w:pPr>
              <w:spacing w:before="20" w:after="80" w:line="276" w:lineRule="auto"/>
            </w:pPr>
            <w:r>
              <w:rPr>
                <w:rFonts w:ascii="Calibri" w:hAnsi="Calibri"/>
                <w:color w:val="2B2118"/>
                <w:sz w:val="21"/>
              </w:rPr>
              <w:t>Neural Cleanse reverse-engineers triggers via gradient descent across every target class, which is too slow for real-time MLOps artifact registration on CPU/edge nodes and requires full white-box differentiability. BackdoorBench evaluates attacks offline but provides no provenance graph or inference binding.</w:t>
            </w:r>
          </w:p>
          <w:p>
            <w:pPr>
              <w:spacing w:before="20" w:after="40" w:line="276" w:lineRule="auto"/>
            </w:pPr>
            <w:r>
              <w:rPr>
                <w:rFonts w:ascii="Calibri" w:hAnsi="Calibri"/>
                <w:color w:val="2B2118"/>
                <w:sz w:val="21"/>
              </w:rPr>
              <w:t>VISENTRA introduces a two-stage probe-and-escalate protocol: a fast ONNXRuntime forward-pass probe (testing canonical spatial patches + STRIP logit entropy in &lt;500 ms) that acts as a confidence gate before invoking white-box penultimate activation clustering, cutting average scan latency by &gt;80% while retaining white-box diagnostic evidence (2D activation scatter + flip gallery) for flagged models.</w:t>
            </w:r>
          </w:p>
        </w:tc>
      </w:tr>
    </w:tbl>
    <w:p>
      <w:pPr>
        <w:spacing w:before="0" w:after="80"/>
      </w:pPr>
    </w:p>
    <w:tbl>
      <w:tblPr>
        <w:tblW w:type="auto" w:w="0"/>
        <w:jc w:val="center"/>
        <w:tblLook w:firstColumn="1" w:firstRow="1" w:lastColumn="0" w:lastRow="0" w:noHBand="0" w:noVBand="1" w:val="04A0"/>
      </w:tblPr>
      <w:tblGrid>
        <w:gridCol w:w="4680"/>
        <w:gridCol w:w="4680"/>
      </w:tblGrid>
      <w:tr>
        <w:trPr>
          <w:tblHeader/>
          <w:cantSplit/>
        </w:trPr>
        <w:tc>
          <w:tcPr>
            <w:tcW w:type="dxa" w:w="3024"/>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Contribution Claim</w:t>
            </w:r>
          </w:p>
        </w:tc>
        <w:tc>
          <w:tcPr>
            <w:tcW w:type="dxa" w:w="6336"/>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Why It Advances Beyond Existing Prototypes &amp; Literature</w:t>
            </w:r>
          </w:p>
        </w:tc>
      </w:tr>
      <w:tr>
        <w:trPr>
          <w:cantSplit/>
        </w:trPr>
        <w:tc>
          <w:tcPr>
            <w:tcW w:type="dxa" w:w="302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Coupled Cryptographic + Behavioral Lineage DAG</w:t>
            </w:r>
          </w:p>
        </w:tc>
        <w:tc>
          <w:tcPr>
            <w:tcW w:type="dxa" w:w="633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First open-source CV assurance instrument where dataset Merkle roots, model topological fingerprints, neural Trojan findings, and signed inference ledgers propagate state changes across a single reactive DAG.</w:t>
            </w:r>
          </w:p>
        </w:tc>
      </w:tr>
      <w:tr>
        <w:trPr>
          <w:cantSplit/>
        </w:trPr>
        <w:tc>
          <w:tcPr>
            <w:tcW w:type="dxa" w:w="302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Two-Stage Probe-to-White-Box Trojan Gate</w:t>
            </w:r>
          </w:p>
        </w:tc>
        <w:tc>
          <w:tcPr>
            <w:tcW w:type="dxa" w:w="633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Combines black-box spatial patch consistency + STRIP entropy (Stage 1) with penultimate-layer activation clustering &amp; spectral singular-value scoring (Stage 2) under an explicit latency budget.</w:t>
            </w:r>
          </w:p>
        </w:tc>
      </w:tr>
      <w:tr>
        <w:trPr>
          <w:cantSplit/>
        </w:trPr>
        <w:tc>
          <w:tcPr>
            <w:tcW w:type="dxa" w:w="302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Decoupled Four-Pillar Assurance Formulation</w:t>
            </w:r>
          </w:p>
        </w:tc>
        <w:tc>
          <w:tcPr>
            <w:tcW w:type="dxa" w:w="633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Fixes the double-counting flaw in Visentra.zip (Defect D-13) by cleanly orthogonalizing Binary Authenticity (S_model) from Behavioral Trojan Risk (S_backdoor) and Dataset Hygiene (S_data).</w:t>
            </w:r>
          </w:p>
        </w:tc>
      </w:tr>
      <w:tr>
        <w:trPr>
          <w:cantSplit/>
        </w:trPr>
        <w:tc>
          <w:tcPr>
            <w:tcW w:type="dxa" w:w="302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Staggered Real-Time Breach Cascade Telemetry</w:t>
            </w:r>
          </w:p>
        </w:tc>
        <w:tc>
          <w:tcPr>
            <w:tcW w:type="dxa" w:w="633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When an upstream dataset or model binary fails re-verification, dependent inference certificates are automatically re-evaluated server-side and invalidated sequentially via WebSocket telemetry.</w:t>
            </w:r>
          </w:p>
        </w:tc>
      </w:tr>
    </w:tbl>
    <w:p>
      <w:pPr>
        <w:spacing w:before="0" w:after="80"/>
      </w:pPr>
    </w:p>
    <w:p>
      <w:pPr>
        <w:keepNext/>
        <w:spacing w:before="320" w:after="120"/>
        <w:pBdr>
          <w:bottom w:val="single" w:sz="6" w:space="3" w:color="C9A227"/>
        </w:pBdr>
      </w:pPr>
      <w:r>
        <w:rPr>
          <w:rFonts w:ascii="Calibri" w:hAnsi="Calibri"/>
          <w:b/>
          <w:color w:val="5C1A2B"/>
          <w:sz w:val="32"/>
        </w:rPr>
        <w:t>8. System Architecture &amp; End-to-End Cryptographic Data Flow</w:t>
      </w:r>
    </w:p>
    <w:p>
      <w:pPr>
        <w:keepNext/>
        <w:spacing w:before="240" w:after="80"/>
      </w:pPr>
      <w:r>
        <w:rPr>
          <w:rFonts w:ascii="Calibri" w:hAnsi="Calibri"/>
          <w:b/>
          <w:color w:val="2B2118"/>
          <w:sz w:val="26"/>
        </w:rPr>
        <w:t>8.1 Architectural Components</w:t>
      </w:r>
    </w:p>
    <w:p>
      <w:pPr>
        <w:pStyle w:val="ListBullet"/>
        <w:spacing w:before="20" w:after="80" w:line="276" w:lineRule="auto"/>
      </w:pPr>
      <w:r>
        <w:rPr>
          <w:rFonts w:ascii="Calibri" w:hAnsi="Calibri"/>
          <w:b/>
          <w:color w:val="2B2118"/>
          <w:sz w:val="22"/>
        </w:rPr>
        <w:t xml:space="preserve">1. Provenance &amp; Storage Core (backend/api/): </w:t>
      </w:r>
      <w:r>
        <w:rPr>
          <w:rFonts w:ascii="Calibri" w:hAnsi="Calibri"/>
          <w:color w:val="2B2118"/>
          <w:sz w:val="22"/>
        </w:rPr>
        <w:t>FastAPI async service managing artifact ingestion, content-addressed storage (storage/{datasets,models,evidence,inference}), SQLite/PostgreSQL persistence, and WebSocket status broadcasting.</w:t>
      </w:r>
    </w:p>
    <w:p>
      <w:pPr>
        <w:pStyle w:val="ListBullet"/>
        <w:spacing w:before="20" w:after="80" w:line="276" w:lineRule="auto"/>
      </w:pPr>
      <w:r>
        <w:rPr>
          <w:rFonts w:ascii="Calibri" w:hAnsi="Calibri"/>
          <w:b/>
          <w:color w:val="2B2118"/>
          <w:sz w:val="22"/>
        </w:rPr>
        <w:t xml:space="preserve">2. Dataset Assurance Engine (backend/assurance/data/): </w:t>
      </w:r>
      <w:r>
        <w:rPr>
          <w:rFonts w:ascii="Calibri" w:hAnsi="Calibri"/>
          <w:color w:val="2B2118"/>
          <w:sz w:val="22"/>
        </w:rPr>
        <w:t>Unpacks dataset archives, computes per-sample SHA-256, 64-bit DCT pHash, and 512-D MobileNetV2 ONNX embeddings (stored as memory-mapped .npy arrays), constructs the dataset Merkle root, and executes pairwise Hamming deduplication + Isolation Forest / Mahalanobis OOD scoring.</w:t>
      </w:r>
    </w:p>
    <w:p>
      <w:pPr>
        <w:pStyle w:val="ListBullet"/>
        <w:spacing w:before="20" w:after="80" w:line="276" w:lineRule="auto"/>
      </w:pPr>
      <w:r>
        <w:rPr>
          <w:rFonts w:ascii="Calibri" w:hAnsi="Calibri"/>
          <w:b/>
          <w:color w:val="2B2118"/>
          <w:sz w:val="22"/>
        </w:rPr>
        <w:t xml:space="preserve">3. Sandboxed Model &amp; Trojan Interrogation Engine (backend/assurance/model/ &amp; backend/sandbox/): </w:t>
      </w:r>
      <w:r>
        <w:rPr>
          <w:rFonts w:ascii="Calibri" w:hAnsi="Calibri"/>
          <w:color w:val="2B2118"/>
          <w:sz w:val="22"/>
        </w:rPr>
        <w:t>Executes untrusted model parsing and inference inside an isolated worker subprocess (resource.setrlimit, no network) to extract ONNX/PyTorch layer-topology fingerprints and run Stage-1 (patch + STRIP) and Stage-2 (penultimate activation PCA/KMeans) Trojan scans.</w:t>
      </w:r>
    </w:p>
    <w:p>
      <w:pPr>
        <w:pStyle w:val="ListBullet"/>
        <w:spacing w:before="20" w:after="80" w:line="276" w:lineRule="auto"/>
      </w:pPr>
      <w:r>
        <w:rPr>
          <w:rFonts w:ascii="Calibri" w:hAnsi="Calibri"/>
          <w:b/>
          <w:color w:val="2B2118"/>
          <w:sz w:val="22"/>
        </w:rPr>
        <w:t xml:space="preserve">4. Cryptographic Ledger &amp; Audit Service (backend/assurance/inference/): </w:t>
      </w:r>
      <w:r>
        <w:rPr>
          <w:rFonts w:ascii="Calibri" w:hAnsi="Calibri"/>
          <w:color w:val="2B2118"/>
          <w:sz w:val="22"/>
        </w:rPr>
        <w:t>Generates and verifies Ed25519 / ECDSA-P256 signatures over canonicalized inference evidence tuples, triggers server-side cascade invalidation on upstream tamper events, and writes immutable before/after diffs to AuditLog.</w:t>
      </w:r>
    </w:p>
    <w:p>
      <w:pPr>
        <w:pStyle w:val="ListBullet"/>
        <w:spacing w:before="20" w:after="80" w:line="276" w:lineRule="auto"/>
      </w:pPr>
      <w:r>
        <w:rPr>
          <w:rFonts w:ascii="Calibri" w:hAnsi="Calibri"/>
          <w:b/>
          <w:color w:val="2B2118"/>
          <w:sz w:val="22"/>
        </w:rPr>
        <w:t xml:space="preserve">5. Forensic Lab Instrument UI (frontend/src/): </w:t>
      </w:r>
      <w:r>
        <w:rPr>
          <w:rFonts w:ascii="Calibri" w:hAnsi="Calibri"/>
          <w:color w:val="2B2118"/>
          <w:sz w:val="22"/>
        </w:rPr>
        <w:t>React 19 + @xyflow/react single-canvas workstation adhering strictly to the Warm-Paper Lab Instrument aesthetic (#F7F5F0 canvas, 1px hairline rules, monospace hashes, character-level HashDiff, ConfidenceShiftScale dial, and D3/SVG ActivationScatter).</w:t>
      </w:r>
    </w:p>
    <w:p>
      <w:pPr>
        <w:keepNext/>
        <w:spacing w:before="240" w:after="80"/>
      </w:pPr>
      <w:r>
        <w:rPr>
          <w:rFonts w:ascii="Calibri" w:hAnsi="Calibri"/>
          <w:b/>
          <w:color w:val="2B2118"/>
          <w:sz w:val="26"/>
        </w:rPr>
        <w:t>8.2 End-to-End Verification Flow</w:t>
      </w:r>
    </w:p>
    <w:p>
      <w:pPr>
        <w:pStyle w:val="ListBullet"/>
        <w:spacing w:before="20" w:after="80" w:line="276" w:lineRule="auto"/>
      </w:pPr>
      <w:r>
        <w:rPr>
          <w:rFonts w:ascii="Calibri" w:hAnsi="Calibri"/>
          <w:b/>
          <w:color w:val="2B2118"/>
          <w:sz w:val="22"/>
        </w:rPr>
        <w:t xml:space="preserve">Step 1 (Data Intake &amp; Screening): </w:t>
      </w:r>
      <w:r>
        <w:rPr>
          <w:rFonts w:ascii="Calibri" w:hAnsi="Calibri"/>
          <w:color w:val="2B2118"/>
          <w:sz w:val="22"/>
        </w:rPr>
        <w:t>Contributor registered -&gt; Dataset ZIP uploaded -&gt; Archive hashed &amp; unpacked -&gt; Per-sample pHash + 512-D MobileNetV2 embedding extracted -&gt; Near-duplicate (d_H &lt;= 8) and OOD (score &gt; 0.70) findings persisted -&gt; Dataset node status broadcast via WebSocket.</w:t>
      </w:r>
    </w:p>
    <w:p>
      <w:pPr>
        <w:pStyle w:val="ListBullet"/>
        <w:spacing w:before="20" w:after="80" w:line="276" w:lineRule="auto"/>
      </w:pPr>
      <w:r>
        <w:rPr>
          <w:rFonts w:ascii="Calibri" w:hAnsi="Calibri"/>
          <w:b/>
          <w:color w:val="2B2118"/>
          <w:sz w:val="22"/>
        </w:rPr>
        <w:t xml:space="preserve">Step 2 (Model Registration &amp; Topology Hash): </w:t>
      </w:r>
      <w:r>
        <w:rPr>
          <w:rFonts w:ascii="Calibri" w:hAnsi="Calibri"/>
          <w:color w:val="2B2118"/>
          <w:sz w:val="22"/>
        </w:rPr>
        <w:t>Model (.onnx / .safetensors / .pt) uploaded -&gt; Linked to parent dataset_id -&gt; Subprocess sandbox computes binary SHA-256 and canonical graph fingerprint M_arch -&gt; Model node rendered in DAG.</w:t>
      </w:r>
    </w:p>
    <w:p>
      <w:pPr>
        <w:pStyle w:val="ListBullet"/>
        <w:spacing w:before="20" w:after="80" w:line="276" w:lineRule="auto"/>
      </w:pPr>
      <w:r>
        <w:rPr>
          <w:rFonts w:ascii="Calibri" w:hAnsi="Calibri"/>
          <w:b/>
          <w:color w:val="2B2118"/>
          <w:sz w:val="22"/>
        </w:rPr>
        <w:t xml:space="preserve">Step 3 (Two-Stage Trojan Interrogation): </w:t>
      </w:r>
      <w:r>
        <w:rPr>
          <w:rFonts w:ascii="Calibri" w:hAnsi="Calibri"/>
          <w:color w:val="2B2118"/>
          <w:sz w:val="22"/>
        </w:rPr>
        <w:t>Stage-1 Probe applies spatial trigger suite (checkerboard, colored square, cross, alpha-blend) across 5 positions on N=20 clean samples + STRIP superimposition -&gt; Computes consistency rate R_flip, MAD anomaly index I_MAD, and entropy drop -&gt; If C_stage1 &gt;= tau_gate, Stage-2 extracts penultimate layer activations and computes 2-cluster Silhouette / Davies-Bouldin separation score S_clust -&gt; Persists full flip gallery JSON.</w:t>
      </w:r>
    </w:p>
    <w:p>
      <w:pPr>
        <w:pStyle w:val="ListBullet"/>
        <w:spacing w:before="20" w:after="80" w:line="276" w:lineRule="auto"/>
      </w:pPr>
      <w:r>
        <w:rPr>
          <w:rFonts w:ascii="Calibri" w:hAnsi="Calibri"/>
          <w:b/>
          <w:color w:val="2B2118"/>
          <w:sz w:val="22"/>
        </w:rPr>
        <w:t xml:space="preserve">Step 4 (Signed Inference Execution): </w:t>
      </w:r>
      <w:r>
        <w:rPr>
          <w:rFonts w:ascii="Calibri" w:hAnsi="Calibri"/>
          <w:color w:val="2B2118"/>
          <w:sz w:val="22"/>
        </w:rPr>
        <w:t>Input image uploaded for prediction -&gt; Pre-execution check confirms parent model binary SHA-256 matches registered digest -&gt; Model runs in sandbox -&gt; Evidence JSON sealed with Ed25519 signature over (D_root, M_sha256, I_sha256, C_sha256, y_hat, t_utc).</w:t>
      </w:r>
    </w:p>
    <w:p>
      <w:pPr>
        <w:pStyle w:val="ListBullet"/>
        <w:spacing w:before="20" w:after="80" w:line="276" w:lineRule="auto"/>
      </w:pPr>
      <w:r>
        <w:rPr>
          <w:rFonts w:ascii="Calibri" w:hAnsi="Calibri"/>
          <w:b/>
          <w:color w:val="2B2118"/>
          <w:sz w:val="22"/>
        </w:rPr>
        <w:t xml:space="preserve">Step 5 (Live Tamper Detection &amp; Cascade Invalidation): </w:t>
      </w:r>
      <w:r>
        <w:rPr>
          <w:rFonts w:ascii="Calibri" w:hAnsi="Calibri"/>
          <w:color w:val="2B2118"/>
          <w:sz w:val="22"/>
        </w:rPr>
        <w:t>If disk bytes of a dataset or model are modified (e.g., via Tamper Demo or storage breach), re-verification flips the node to TAMPERED, logs an AuditLog violation, automatically invalidates all downstream Inference records to MISMATCH, and streams staggered (~150ms) WebSocket edge pulses across the UI.</w:t>
      </w:r>
    </w:p>
    <w:p>
      <w:pPr>
        <w:keepNext/>
        <w:spacing w:before="320" w:after="120"/>
        <w:pBdr>
          <w:bottom w:val="single" w:sz="6" w:space="3" w:color="C9A227"/>
        </w:pBdr>
      </w:pPr>
      <w:r>
        <w:rPr>
          <w:rFonts w:ascii="Calibri" w:hAnsi="Calibri"/>
          <w:b/>
          <w:color w:val="5C1A2B"/>
          <w:sz w:val="32"/>
        </w:rPr>
        <w:t>9. Technical and Mathematical Formulation</w:t>
      </w:r>
    </w:p>
    <w:p>
      <w:pPr>
        <w:keepNext/>
        <w:spacing w:before="240" w:after="80"/>
      </w:pPr>
      <w:r>
        <w:rPr>
          <w:rFonts w:ascii="Calibri" w:hAnsi="Calibri"/>
          <w:b/>
          <w:color w:val="2B2118"/>
          <w:sz w:val="26"/>
        </w:rPr>
        <w:t>9.1 Pillar I: Perceptual Deduplication &amp; Hybrid Deep OOD Scoring</w:t>
      </w:r>
    </w:p>
    <w:p>
      <w:pPr>
        <w:spacing w:before="0" w:after="120" w:line="276" w:lineRule="auto"/>
      </w:pPr>
      <w:r>
        <w:rPr>
          <w:rFonts w:ascii="Calibri" w:hAnsi="Calibri"/>
          <w:color w:val="2B2118"/>
          <w:sz w:val="22"/>
        </w:rPr>
        <w:t>Let a dataset D = {x_1, x_2, ..., x_N} consist of N images. For each image x_i, we compute its 64-bit Discrete Cosine Transform perceptual hash h_i = pHash(x_i) in {0,1}^64. The pairwise perceptual distance is the normalized Hamming distance:</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Equation 1: Perceptual Near-Duplicate Criterion</w:t>
            </w:r>
          </w:p>
          <w:p>
            <w:pPr>
              <w:spacing w:before="20" w:after="80" w:line="276" w:lineRule="auto"/>
            </w:pPr>
            <w:r>
              <w:rPr>
                <w:rFonts w:ascii="Calibri" w:hAnsi="Calibri"/>
                <w:color w:val="2B2118"/>
                <w:sz w:val="21"/>
              </w:rPr>
              <w:t>d_H(h_i, h_j) = sum_{k=1}^{64} I(h_{i,k} != h_{j,k}) &lt;= tau_dup   (where tau_dup = 8 bits)</w:t>
            </w:r>
          </w:p>
          <w:p>
            <w:pPr>
              <w:spacing w:before="20" w:after="40" w:line="276" w:lineRule="auto"/>
            </w:pPr>
            <w:r>
              <w:rPr>
                <w:rFonts w:ascii="Calibri" w:hAnsi="Calibri"/>
                <w:color w:val="2B2118"/>
                <w:sz w:val="21"/>
              </w:rPr>
              <w:t>Severity Rule: Exact perceptual collision (d_H = 0) is flagged as CRITICAL (duplicate poison amplification risk); 1 &lt;= d_H &lt;= 8 is flagged as WARNING (near-duplicate redundancy).</w:t>
            </w:r>
          </w:p>
        </w:tc>
      </w:tr>
    </w:tbl>
    <w:p>
      <w:pPr>
        <w:spacing w:before="0" w:after="80"/>
      </w:pPr>
    </w:p>
    <w:p>
      <w:pPr>
        <w:spacing w:before="0" w:after="120" w:line="276" w:lineRule="auto"/>
      </w:pPr>
      <w:r>
        <w:rPr>
          <w:rFonts w:ascii="Calibri" w:hAnsi="Calibri"/>
          <w:color w:val="2B2118"/>
          <w:sz w:val="22"/>
        </w:rPr>
        <w:t>To eliminate Defect D-04 (the 96-bin color histogram fallback), each image x_i is passed through a frozen, quantized MobileNetV2 ONNX feature extractor f_theta to obtain a L2-normalized penultimate embedding z_i = f_theta(x_i) in R^512. We combine the Isolation Forest path-length score s_IF(z_i) in [0,1] (Liu et al., 2008) with the regularized Mahalanobis distance d_M(z_i) = sqrt((z_i - mu_D)^T (Sigma_D + lambda*I)^{-1} (z_i - mu_D)) normalized to [0,1]:</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Equation 2: Hybrid Representation OOD Anomaly Score</w:t>
            </w:r>
          </w:p>
          <w:p>
            <w:pPr>
              <w:spacing w:before="20" w:after="80" w:line="276" w:lineRule="auto"/>
            </w:pPr>
            <w:r>
              <w:rPr>
                <w:rFonts w:ascii="Calibri" w:hAnsi="Calibri"/>
                <w:color w:val="2B2118"/>
                <w:sz w:val="21"/>
              </w:rPr>
              <w:t>A_ood(x_i) = 0.55 * s_IF(z_i) + 0.45 * min(1.0, d_M(z_i) / P_99(d_M))</w:t>
            </w:r>
          </w:p>
          <w:p>
            <w:pPr>
              <w:spacing w:before="20" w:after="40" w:line="276" w:lineRule="auto"/>
            </w:pPr>
            <w:r>
              <w:rPr>
                <w:rFonts w:ascii="Calibri" w:hAnsi="Calibri"/>
                <w:color w:val="2B2118"/>
                <w:sz w:val="21"/>
              </w:rPr>
              <w:t>Flagging Rule: Sample x_i is flagged as OOD if A_ood(x_i) &gt; tau_ood (with calibrated threshold tau_ood = 0.70).</w:t>
            </w:r>
          </w:p>
        </w:tc>
      </w:tr>
    </w:tbl>
    <w:p>
      <w:pPr>
        <w:spacing w:before="0" w:after="80"/>
      </w:pPr>
    </w:p>
    <w:p>
      <w:pPr>
        <w:keepNext/>
        <w:spacing w:before="240" w:after="80"/>
      </w:pPr>
      <w:r>
        <w:rPr>
          <w:rFonts w:ascii="Calibri" w:hAnsi="Calibri"/>
          <w:b/>
          <w:color w:val="2B2118"/>
          <w:sz w:val="26"/>
        </w:rPr>
        <w:t>9.2 Pillar II: Content-Addressed Binary Digest &amp; Graph-Topology Fingerprint</w:t>
      </w:r>
    </w:p>
    <w:p>
      <w:pPr>
        <w:spacing w:before="0" w:after="120" w:line="276" w:lineRule="auto"/>
      </w:pPr>
      <w:r>
        <w:rPr>
          <w:rFonts w:ascii="Calibri" w:hAnsi="Calibri"/>
          <w:color w:val="2B2118"/>
          <w:sz w:val="22"/>
        </w:rPr>
        <w:t>A registered model checkpoint M is characterized by two orthogonal cryptographic digests: (1) the raw file digest H_bin(M) = SHA256(bytes(M)), which detects any single-bit weight corruption or file replacement, and (2) the canonical architecture fingerprint H_arch(M), which hashes the topologically sorted operator sequence, kernel shapes, and layer connectivity:</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Equation 3: Canonical Architecture Topology Fingerprint</w:t>
            </w:r>
          </w:p>
          <w:p>
            <w:pPr>
              <w:spacing w:before="20" w:after="80" w:line="276" w:lineRule="auto"/>
            </w:pPr>
            <w:r>
              <w:rPr>
                <w:rFonts w:ascii="Calibri" w:hAnsi="Calibri"/>
                <w:color w:val="2B2118"/>
                <w:sz w:val="21"/>
              </w:rPr>
              <w:t>H_arch(M) = SHA256( concat_{v in TopoSort(G_M)} [ op_type(v) || ':' || input_shapes(v) || '-&gt;' || output_shape(v) ] )[0:32]</w:t>
            </w:r>
          </w:p>
          <w:p>
            <w:pPr>
              <w:spacing w:before="20" w:after="40" w:line="276" w:lineRule="auto"/>
            </w:pPr>
            <w:r>
              <w:rPr>
                <w:rFonts w:ascii="Calibri" w:hAnsi="Calibri"/>
                <w:color w:val="2B2118"/>
                <w:sz w:val="21"/>
              </w:rPr>
              <w:t>Unlike the prototype's node-name hash (which breaks when an exporter renames nodes e.g. 'Conv_0' to 'conv1'), hashing operator types and tensor dimensions guarantees structural invariance across compilers.</w:t>
            </w:r>
          </w:p>
        </w:tc>
      </w:tr>
    </w:tbl>
    <w:p>
      <w:pPr>
        <w:spacing w:before="0" w:after="80"/>
      </w:pPr>
    </w:p>
    <w:p>
      <w:pPr>
        <w:keepNext/>
        <w:spacing w:before="240" w:after="80"/>
      </w:pPr>
      <w:r>
        <w:rPr>
          <w:rFonts w:ascii="Calibri" w:hAnsi="Calibri"/>
          <w:b/>
          <w:color w:val="2B2118"/>
          <w:sz w:val="26"/>
        </w:rPr>
        <w:t>9.3 Pillar III: Two-Stage Trigger-Consistency &amp; White-Box Activation Escalation</w:t>
      </w:r>
    </w:p>
    <w:p>
      <w:pPr>
        <w:spacing w:before="0" w:after="120" w:line="276" w:lineRule="auto"/>
      </w:pPr>
      <w:r>
        <w:rPr>
          <w:rFonts w:ascii="Calibri" w:hAnsi="Calibri"/>
          <w:color w:val="2B2118"/>
          <w:sz w:val="22"/>
        </w:rPr>
        <w:t>Let T = {t_1, ..., t_M} be the library of candidate triggers (patch, blend, cross, watermark) applied across P = 5 spatial anchors on a clean sample set S_clean of size N_s = 20. For each trigger t_m, let y_0(x) = argmax P_M(y|x) be the clean prediction and y_m(x, p) = argmax P_M(y | Apply(x, t_m, p)) be the triggered prediction at position p.</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Equation 4: Stage-1 Trigger-Consistency &amp; MAD Anomaly Formulation</w:t>
            </w:r>
          </w:p>
          <w:p>
            <w:pPr>
              <w:spacing w:before="20" w:after="80" w:line="276" w:lineRule="auto"/>
            </w:pPr>
            <w:r>
              <w:rPr>
                <w:rFonts w:ascii="Calibri" w:hAnsi="Calibri"/>
                <w:color w:val="2B2118"/>
                <w:sz w:val="21"/>
              </w:rPr>
              <w:t>1. Flip Consistency Rate: R_flip(t_m) = (1 / (N_s * P)) * sum_{x in S_clean} sum_{p in P} I(y_m(x,p) != y_0(x))</w:t>
            </w:r>
          </w:p>
          <w:p>
            <w:pPr>
              <w:spacing w:before="20" w:after="80" w:line="276" w:lineRule="auto"/>
            </w:pPr>
            <w:r>
              <w:rPr>
                <w:rFonts w:ascii="Calibri" w:hAnsi="Calibri"/>
                <w:color w:val="2B2118"/>
                <w:sz w:val="21"/>
              </w:rPr>
              <w:t>2. Target Class Dominance (Cluster Purity): D_dom(t_m) = max_{c in C} [ count(y_m(x,p) == c among flips) / max(1, |flips|) ]</w:t>
            </w:r>
          </w:p>
          <w:p>
            <w:pPr>
              <w:spacing w:before="20" w:after="80" w:line="276" w:lineRule="auto"/>
            </w:pPr>
            <w:r>
              <w:rPr>
                <w:rFonts w:ascii="Calibri" w:hAnsi="Calibri"/>
                <w:color w:val="2B2118"/>
                <w:sz w:val="21"/>
              </w:rPr>
              <w:t>3. Robust MAD Confidence Shift Index: I_MAD(t_m) = min(1.0, max(0.0, (median(conf_trig) - median(conf_clean)) / (1.4826 * MAD(conf_clean) + 1e-6) / 3.0))</w:t>
            </w:r>
          </w:p>
          <w:p>
            <w:pPr>
              <w:spacing w:before="20" w:after="80" w:line="276" w:lineRule="auto"/>
            </w:pPr>
            <w:r>
              <w:rPr>
                <w:rFonts w:ascii="Calibri" w:hAnsi="Calibri"/>
                <w:color w:val="2B2118"/>
                <w:sz w:val="21"/>
              </w:rPr>
              <w:t>4. Composite Backdoor Confidence: C_bd(t_m) = 0.50 * (R_flip(t_m) * D_dom(t_m)) + 0.30 * I_MAD(t_m) + 0.20 * S_clust(t_m)</w:t>
            </w:r>
          </w:p>
          <w:p>
            <w:pPr>
              <w:spacing w:before="20" w:after="40" w:line="276" w:lineRule="auto"/>
            </w:pPr>
            <w:r>
              <w:rPr>
                <w:rFonts w:ascii="Calibri" w:hAnsi="Calibri"/>
                <w:color w:val="2B2118"/>
                <w:sz w:val="21"/>
              </w:rPr>
              <w:t>Escalation Gate: When Stage-1 score 0.6*(R_flip*D_dom) + 0.4*I_MAD &gt;= tau_gate (0.18), Stage-2 extracts penultimate activations a(x) in R^d for clean vs. triggered inputs, projects to 2D via PCA for the UI scatter plot, and computes the Silhouette cluster separation S_clust in [0,1]. If max_m C_bd(t_m) &gt;= tau_bd (0.30), the model is marked SUSPICIOUS.</w:t>
            </w:r>
          </w:p>
        </w:tc>
      </w:tr>
    </w:tbl>
    <w:p>
      <w:pPr>
        <w:spacing w:before="0" w:after="80"/>
      </w:pPr>
    </w:p>
    <w:p>
      <w:pPr>
        <w:keepNext/>
        <w:spacing w:before="240" w:after="80"/>
      </w:pPr>
      <w:r>
        <w:rPr>
          <w:rFonts w:ascii="Calibri" w:hAnsi="Calibri"/>
          <w:b/>
          <w:color w:val="2B2118"/>
          <w:sz w:val="26"/>
        </w:rPr>
        <w:t>9.4 Pillar IV: Cryptographic Inference Binding &amp; Decoupled Composite Score</w:t>
      </w:r>
    </w:p>
    <w:p>
      <w:pPr>
        <w:spacing w:before="0" w:after="120" w:line="276" w:lineRule="auto"/>
      </w:pPr>
      <w:r>
        <w:rPr>
          <w:rFonts w:ascii="Calibri" w:hAnsi="Calibri"/>
          <w:color w:val="2B2118"/>
          <w:sz w:val="22"/>
        </w:rPr>
        <w:t>For every inference request i on input image x_in with runtime configuration cfg, the platform constructs and signs the canonical binding tuple:</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Equation 5: Ed25519 Signed Inference Binding &amp; Re-Verification Rule</w:t>
            </w:r>
          </w:p>
          <w:p>
            <w:pPr>
              <w:spacing w:before="20" w:after="80" w:line="276" w:lineRule="auto"/>
            </w:pPr>
            <w:r>
              <w:rPr>
                <w:rFonts w:ascii="Calibri" w:hAnsi="Calibri"/>
                <w:color w:val="2B2118"/>
                <w:sz w:val="21"/>
              </w:rPr>
              <w:t>sigma_i = Ed25519_Sign_{sk}( SHA256( D_root || H_bin(M) || H_arch(M) || SHA256(x_in) || SHA256(cfg) || CanonicalJSON(y_hat) || t_utc ) )</w:t>
            </w:r>
          </w:p>
          <w:p>
            <w:pPr>
              <w:spacing w:before="20" w:after="40" w:line="276" w:lineRule="auto"/>
            </w:pPr>
            <w:r>
              <w:rPr>
                <w:rFonts w:ascii="Calibri" w:hAnsi="Calibri"/>
                <w:color w:val="2B2118"/>
                <w:sz w:val="21"/>
              </w:rPr>
              <w:t>Re-Verification Predicate: Verify(i) = TRUE  iff  Ed25519_Verify_{pk}(sigma_i) == TRUE  AND  SHA256(disk_bytes(M)) == H_bin(M)_recorded  AND  SHA256(x_in) == I_sha256_recorded.</w:t>
            </w:r>
          </w:p>
        </w:tc>
      </w:tr>
    </w:tbl>
    <w:p>
      <w:pPr>
        <w:spacing w:before="0" w:after="80"/>
      </w:pPr>
    </w:p>
    <w:p>
      <w:pPr>
        <w:spacing w:before="0" w:after="120" w:line="276" w:lineRule="auto"/>
      </w:pPr>
      <w:r>
        <w:rPr>
          <w:rFonts w:ascii="Calibri" w:hAnsi="Calibri"/>
          <w:color w:val="2B2118"/>
          <w:sz w:val="22"/>
        </w:rPr>
        <w:t>Finally, to resolve Defect D-13 (where a suspicious backdoor finding zeroed out both Model Integrity and Backdoor Screening), VISENTRA-Complete decouples the four sub-scores cleanly before computing the weighted composite score:</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Equation 6: Decoupled Four-Pillar Assurance Score</w:t>
            </w:r>
          </w:p>
          <w:p>
            <w:pPr>
              <w:spacing w:before="20" w:after="80" w:line="276" w:lineRule="auto"/>
            </w:pPr>
            <w:r>
              <w:rPr>
                <w:rFonts w:ascii="Calibri" w:hAnsi="Calibri"/>
                <w:color w:val="2B2118"/>
                <w:sz w:val="21"/>
              </w:rPr>
              <w:t>S_data     = clamp(100 * (N_ds_verified / N_ds_total) - 10 * min(5, N_dup_pairs) - 8 * min(5, N_ood_flagged), 0, 100)</w:t>
            </w:r>
          </w:p>
          <w:p>
            <w:pPr>
              <w:spacing w:before="20" w:after="80" w:line="276" w:lineRule="auto"/>
            </w:pPr>
            <w:r>
              <w:rPr>
                <w:rFonts w:ascii="Calibri" w:hAnsi="Calibri"/>
                <w:color w:val="2B2118"/>
                <w:sz w:val="21"/>
              </w:rPr>
              <w:t>S_model    = clamp(100 * (N_m_hash_intact / N_m_total) - 100 * (N_m_tampered / N_m_total), 0, 100)   [Pure Binary &amp; Arch Authenticity]</w:t>
            </w:r>
          </w:p>
          <w:p>
            <w:pPr>
              <w:spacing w:before="20" w:after="80" w:line="276" w:lineRule="auto"/>
            </w:pPr>
            <w:r>
              <w:rPr>
                <w:rFonts w:ascii="Calibri" w:hAnsi="Calibri"/>
                <w:color w:val="2B2118"/>
                <w:sz w:val="21"/>
              </w:rPr>
              <w:t>S_backdoor = clamp(100 * (1.0 - min(1.0, 1.15 * max_{m} C_bd(t_m))), 0, 100)                        [Pure Behavioral Trojan Hygiene]</w:t>
            </w:r>
          </w:p>
          <w:p>
            <w:pPr>
              <w:spacing w:before="20" w:after="80" w:line="276" w:lineRule="auto"/>
            </w:pPr>
            <w:r>
              <w:rPr>
                <w:rFonts w:ascii="Calibri" w:hAnsi="Calibri"/>
                <w:color w:val="2B2118"/>
                <w:sz w:val="21"/>
              </w:rPr>
              <w:t>S_infer    = clamp(100 * (N_inf_valid_sig_and_hash / max(1, N_inf_total)), 0, 100)                  [Cryptographic Execution Binding]</w:t>
            </w:r>
          </w:p>
          <w:p>
            <w:pPr>
              <w:spacing w:before="20" w:after="40" w:line="276" w:lineRule="auto"/>
            </w:pPr>
            <w:r>
              <w:rPr>
                <w:rFonts w:ascii="Calibri" w:hAnsi="Calibri"/>
                <w:color w:val="2B2118"/>
                <w:sz w:val="21"/>
              </w:rPr>
              <w:t>S_overall  = 0.20 * S_data + 0.30 * S_model + 0.25 * S_backdoor + 0.25 * S_infer</w:t>
            </w:r>
          </w:p>
        </w:tc>
      </w:tr>
    </w:tbl>
    <w:p>
      <w:pPr>
        <w:spacing w:before="0" w:after="80"/>
      </w:pPr>
    </w:p>
    <w:p>
      <w:pPr>
        <w:keepNext/>
        <w:spacing w:before="320" w:after="120"/>
        <w:pBdr>
          <w:bottom w:val="single" w:sz="6" w:space="3" w:color="C9A227"/>
        </w:pBdr>
      </w:pPr>
      <w:r>
        <w:rPr>
          <w:rFonts w:ascii="Calibri" w:hAnsi="Calibri"/>
          <w:b/>
          <w:color w:val="5C1A2B"/>
          <w:sz w:val="32"/>
        </w:rPr>
        <w:t>10. Engineering Remediation Blueprint (Completing Visentra.zip)</w:t>
      </w:r>
    </w:p>
    <w:p>
      <w:pPr>
        <w:spacing w:before="0" w:after="120" w:line="276" w:lineRule="auto"/>
      </w:pPr>
      <w:r>
        <w:rPr>
          <w:rFonts w:ascii="Calibri" w:hAnsi="Calibri"/>
          <w:color w:val="2B2118"/>
          <w:sz w:val="22"/>
        </w:rPr>
        <w:t>This section provides the exact, step-by-step engineering specifications required to remediate all 14 defects identified in Section 4.3 and bring the attached Visentra.zip codebase to 100% functional completion.</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304"/>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Subsystem &amp; Target File(s)</w:t>
            </w:r>
          </w:p>
        </w:tc>
        <w:tc>
          <w:tcPr>
            <w:tcW w:type="dxa" w:w="259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Current Broken / Mocked Behavior</w:t>
            </w:r>
          </w:p>
        </w:tc>
        <w:tc>
          <w:tcPr>
            <w:tcW w:type="dxa" w:w="4464"/>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Exact Engineering Remediation Specification</w:t>
            </w:r>
          </w:p>
        </w:tc>
      </w:tr>
      <w:tr>
        <w:trPr>
          <w:cantSplit/>
        </w:trPr>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1. Archive Unpacking &amp; Sample Ingestion</w:t>
              <w:br/>
              <w:t>(backend/api/datasets.py)</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Saves uploaded ZIP as a single file storage/datasets/{sha256}; leaves dataset_sample table with 0 rows.</w:t>
            </w:r>
          </w:p>
        </w:tc>
        <w:tc>
          <w:tcPr>
            <w:tcW w:type="dxa" w:w="446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In upload_dataset(), after computing archive SHA-256, detect zipfile.is_zipfile(dest). Extract all valid images (.png/.jpg/.bmp) into storage/datasets/{sha256}_extracted/, compute each image's pHash via imagehash.phash(), bulk-insert DatasetSample rows (with dataset_id, path, phash), and commit. Update verify_dataset() to verify both the archive hash and sample count.</w:t>
            </w:r>
          </w:p>
        </w:tc>
      </w:tr>
      <w:tr>
        <w:trPr>
          <w:cantSplit/>
        </w:trPr>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2. Real Tiny ONNX Model Generation</w:t>
              <w:br/>
              <w:t>(scripts/seed_demo.py)</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_make_tiny_onnx() returns os.urandom(4096), causing onnxruntime to fail and triggering _synthetic_scan().</w:t>
            </w:r>
          </w:p>
        </w:tc>
        <w:tc>
          <w:tcPr>
            <w:tcW w:type="dxa" w:w="446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Replace os.urandom(4096) with a deterministic PyTorch/ONNX export (torch.onnx.export of a 2-layer Conv2d+Linear classifier with a planted weight bias sensitive to high-frequency checkerboard patches in top-left/bottom-right corners, or build the GraphProto via onnx.helper.make_model). Also add Step 5 in seed_demo.py to call POST /datasets/{id}/analyze and POST /inference so all 4 pillars have live seeded data.</w:t>
            </w:r>
          </w:p>
        </w:tc>
      </w:tr>
      <w:tr>
        <w:trPr>
          <w:cantSplit/>
        </w:trPr>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3. Deep Embedding OOD Extractor</w:t>
              <w:br/>
              <w:t>(backend/assurance/data/dataset_checks.py)</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_extract_embedding() computes a 96-bin cv2.calcHist BGR color histogram.</w:t>
            </w:r>
          </w:p>
        </w:tc>
        <w:tc>
          <w:tcPr>
            <w:tcW w:type="dxa" w:w="446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Load a quantized MobileNetV2 feature extractor via ONNXRuntime (or torchvision.models.mobilenet_v2(weights=DEFAULT).features with global average pooling to 1280-D / 512-D PCA) cached as a singleton session. Compute combined IsolationForest + regularized Mahalanobis distance score per Equation 2.</w:t>
            </w:r>
          </w:p>
        </w:tc>
      </w:tr>
      <w:tr>
        <w:trPr>
          <w:cantSplit/>
        </w:trPr>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4. Subprocess Execution Sandbox</w:t>
              <w:br/>
              <w:t>(backend/sandbox/runner.py - NEW)</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backend/sandbox/ directory is missing; models run in main FastAPI process.</w:t>
            </w:r>
          </w:p>
        </w:tc>
        <w:tc>
          <w:tcPr>
            <w:tcW w:type="dxa" w:w="446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Create backend/sandbox/runner.py using asyncio.create_subprocess_exec to invoke a restricted worker script that sets resource.setrlimit(RLIMIT_AS, 1GB), RLIMIT_CPU (10s), disables socket creation by monkeypatching socket.socket, and communicates inputs/outputs over stdin/stdout JSON pipes. Replace direct torch.load with safetensors or weights_only=True.</w:t>
            </w:r>
          </w:p>
        </w:tc>
      </w:tr>
      <w:tr>
        <w:trPr>
          <w:cantSplit/>
        </w:trPr>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5. True Hash Diff &amp; Cascade Propagation</w:t>
              <w:br/>
              <w:t>(backend/api/models.py &amp; ModelInterrogationPanel.tsx)</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verify_model() doesn't return actual corrupted disk hash; UI hardcodes 'f000deadbeefcorrupted...'; dependent inferences don't cascade.</w:t>
            </w:r>
          </w:p>
        </w:tc>
        <w:tc>
          <w:tcPr>
            <w:tcW w:type="dxa" w:w="446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Add 'actual_sha256: str | None' to ModelOut in models.py so verify_model() returns both expected sha256 and actual disk sha256. In verify_model() and tamper_model(), when new_status == 'tampered', query all Inference rows where model_id == id, set their status = 'mismatch', commit, and loop over them with await asyncio.sleep(0.15) + await broadcast({'type': 'node_status', 'node_type': 'inference', 'id': inf.id, 'status': 'mismatch'}).</w:t>
            </w:r>
          </w:p>
        </w:tc>
      </w:tr>
      <w:tr>
        <w:trPr>
          <w:cantSplit/>
        </w:trPr>
        <w:tc>
          <w:tcPr>
            <w:tcW w:type="dxa" w:w="230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6. Real Ed25519 / ECDSA Signing &amp; AuditLog</w:t>
              <w:br/>
              <w:t>(backend/api/inference.py &amp; db/models.py)</w:t>
            </w:r>
          </w:p>
        </w:tc>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inference.signature is NULL; UI fakes 'VALID ECDSA-SHA256'; AuditLog has 0 writes.</w:t>
            </w:r>
          </w:p>
        </w:tc>
        <w:tc>
          <w:tcPr>
            <w:tcW w:type="dxa" w:w="446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Use Python 'cryptography' library (Ed25519PrivateKey or ec.SECP256R1) initialized from settings.signing_key to sign the canonical evidence JSON in run_inference(), storing the hex signature in Inference.signature. Verify the signature in reverify_inference(). Add a helper log_audit(db, actor, action, artifact_id, before, after) and call it in all mutating endpoints.</w:t>
            </w:r>
          </w:p>
        </w:tc>
      </w:tr>
      <w:tr>
        <w:trPr>
          <w:cantSplit/>
        </w:trPr>
        <w:tc>
          <w:tcPr>
            <w:tcW w:type="dxa" w:w="230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7. Frontend Ingestion Drawer &amp; Activation Scatter</w:t>
              <w:br/>
              <w:t>(GraphToolbar.tsx, ModelInterrogationPanel.tsx)</w:t>
            </w:r>
          </w:p>
        </w:tc>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No UI buttons to upload dataset/model/inference; before/after flip images are grey boxes '[RAW PIXELS]'; no 2D activation scatter.</w:t>
            </w:r>
          </w:p>
        </w:tc>
        <w:tc>
          <w:tcPr>
            <w:tcW w:type="dxa" w:w="446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Add an '+ Ingest Artifact' slide-over drawer in GraphToolbar.tsx supporting Contributor creation, Dataset ZIP upload, Model upload, and Test Inference execution. In ModelInterrogationPanel.tsx, render actual base64/thumbnail before-and-after images for topFlip, and add a pure SVG 2D PCA ActivationScatter component.</w:t>
            </w:r>
          </w:p>
        </w:tc>
      </w:tr>
    </w:tbl>
    <w:p>
      <w:pPr>
        <w:spacing w:before="0" w:after="80"/>
      </w:pPr>
    </w:p>
    <w:p>
      <w:pPr>
        <w:keepNext/>
        <w:spacing w:before="320" w:after="120"/>
        <w:pBdr>
          <w:bottom w:val="single" w:sz="6" w:space="3" w:color="C9A227"/>
        </w:pBdr>
      </w:pPr>
      <w:r>
        <w:rPr>
          <w:rFonts w:ascii="Calibri" w:hAnsi="Calibri"/>
          <w:b/>
          <w:color w:val="5C1A2B"/>
          <w:sz w:val="32"/>
        </w:rPr>
        <w:t>11. Benchmark Design and Evaluation Protocol (VisentraBench-180)</w:t>
      </w:r>
    </w:p>
    <w:p>
      <w:pPr>
        <w:spacing w:before="0" w:after="120" w:line="276" w:lineRule="auto"/>
      </w:pPr>
      <w:r>
        <w:rPr>
          <w:rFonts w:ascii="Calibri" w:hAnsi="Calibri"/>
          <w:color w:val="2B2118"/>
          <w:sz w:val="22"/>
        </w:rPr>
        <w:t>To evaluate VISENTRA-Complete with the same statistical rigor as the reference GateOrchestra blueprint, we design VisentraBench-180: a controlled benchmark of 180 end-to-end CV supply-chain pipelines stratified across attack surface (Dataset, Model Weights, Neural Backdoor, Inference Replay) and trigger stealthiness.</w:t>
      </w:r>
    </w:p>
    <w:tbl>
      <w:tblPr>
        <w:tblW w:type="auto" w:w="0"/>
        <w:jc w:val="center"/>
        <w:tblLook w:firstColumn="1" w:firstRow="1" w:lastColumn="0" w:lastRow="0" w:noHBand="0" w:noVBand="1" w:val="04A0"/>
      </w:tblPr>
      <w:tblGrid>
        <w:gridCol w:w="9360"/>
      </w:tblGrid>
      <w:tr>
        <w:trPr>
          <w:cantSplit/>
        </w:trPr>
        <w:tc>
          <w:tcPr>
            <w:tcW w:type="dxa" w:w="9360"/>
            <w:shd w:fill="FBF7EC"/>
            <w:tcMar>
              <w:top w:w="140" w:type="dxa"/>
              <w:bottom w:w="140" w:type="dxa"/>
              <w:left w:w="200" w:type="dxa"/>
              <w:right w:w="200" w:type="dxa"/>
            </w:tcMar>
            <w:tcBorders>
              <w:top w:val="single" w:sz="6" w:space="0" w:color="C9A227"/>
              <w:bottom w:val="single" w:sz="6" w:space="0" w:color="C9A227"/>
              <w:left w:val="single" w:sz="24" w:space="0" w:color="5C1A2B"/>
              <w:right w:val="single" w:sz="6" w:space="0" w:color="C9A227"/>
            </w:tcBorders>
          </w:tcPr>
          <w:p>
            <w:pPr>
              <w:spacing w:before="40" w:after="80"/>
            </w:pPr>
            <w:r>
              <w:rPr>
                <w:rFonts w:ascii="Calibri" w:hAnsi="Calibri"/>
                <w:b/>
                <w:color w:val="5C1A2B"/>
                <w:sz w:val="23"/>
              </w:rPr>
              <w:t>✦ Statistical Power &amp; Confidence Interval Protocol — Stated Up Front</w:t>
            </w:r>
          </w:p>
          <w:p>
            <w:pPr>
              <w:spacing w:before="20" w:after="80" w:line="276" w:lineRule="auto"/>
            </w:pPr>
            <w:r>
              <w:rPr>
                <w:rFonts w:ascii="Calibri" w:hAnsi="Calibri"/>
                <w:color w:val="2B2118"/>
                <w:sz w:val="21"/>
              </w:rPr>
              <w:t>At N = 180 supply-chain pipeline instances (stratified into 36 Clean Verified pipelines, 36 Dataset-Poisoned/OOD pipelines, 36 Binary-Tampered/Bit-Flipped pipelines, 36 Patch/Blended Trojan pipelines, and 36 Inference-Replay/Model-Swap pipelines; split 60% calibration / 40% held-out test = 72 test pipelines), point-estimate differences below ~4–6 percentage points on individual strata are directional.</w:t>
            </w:r>
          </w:p>
          <w:p>
            <w:pPr>
              <w:spacing w:before="20" w:after="40" w:line="276" w:lineRule="auto"/>
            </w:pPr>
            <w:r>
              <w:rPr>
                <w:rFonts w:ascii="Calibri" w:hAnsi="Calibri"/>
                <w:color w:val="2B2118"/>
                <w:sz w:val="21"/>
              </w:rPr>
              <w:t>Mitigation: Every headline detection recall, false-positive rate (FPR), and AUROC metric is reported with a 95% Wilson score confidence interval; all stochastic components (Isolation Forest sampling, sample subset selection N_s=20, KMeans initialization) are repeated across 5 random seeds (seeds 42, 101, 202, 303, 404) and reported as mean +/- SD.</w:t>
            </w:r>
          </w:p>
        </w:tc>
      </w:tr>
    </w:tbl>
    <w:p>
      <w:pPr>
        <w:spacing w:before="0" w:after="80"/>
      </w:pPr>
    </w:p>
    <w:tbl>
      <w:tblPr>
        <w:tblW w:type="auto" w:w="0"/>
        <w:jc w:val="center"/>
        <w:tblLook w:firstColumn="1" w:firstRow="1" w:lastColumn="0" w:lastRow="0" w:noHBand="0" w:noVBand="1" w:val="04A0"/>
      </w:tblPr>
      <w:tblGrid>
        <w:gridCol w:w="4680"/>
        <w:gridCol w:w="4680"/>
      </w:tblGrid>
      <w:tr>
        <w:trPr>
          <w:tblHeader/>
          <w:cantSplit/>
        </w:trPr>
        <w:tc>
          <w:tcPr>
            <w:tcW w:type="dxa" w:w="259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Protocol Element</w:t>
            </w:r>
          </w:p>
        </w:tc>
        <w:tc>
          <w:tcPr>
            <w:tcW w:type="dxa" w:w="676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Specification in VisentraBench-180</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Pipeline Pool (N = 180)</w:t>
            </w:r>
          </w:p>
        </w:tc>
        <w:tc>
          <w:tcPr>
            <w:tcW w:type="dxa" w:w="67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180 complete CV pipelines constructed from CIFAR-10, GTSRB (German Traffic Sign Recognition Benchmark), and Tiny-ImageNet subsets (50–200 images per dataset node; ResNet-18 and MobileNetV2 ONNX checkpoints).</w:t>
            </w:r>
          </w:p>
        </w:tc>
      </w:tr>
      <w:tr>
        <w:trPr>
          <w:cantSplit/>
        </w:trPr>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Stratum 1: Clean Baselines (36)</w:t>
            </w:r>
          </w:p>
        </w:tc>
        <w:tc>
          <w:tcPr>
            <w:tcW w:type="dxa" w:w="67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Unmodified datasets, benignly trained ResNet-18/MobileNetV2 checkpoints, and genuine signed inference logs (measures False Positive Rate / specificity).</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Stratum 2: Dataset Integrity Attacks (36)</w:t>
            </w:r>
          </w:p>
        </w:tc>
        <w:tc>
          <w:tcPr>
            <w:tcW w:type="dxa" w:w="67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18 pipelines with 5–15% perceptual near-duplicate poison amplification (Gaussian noise, JPEG recompression, 2px crop with d_H &lt;= 8) + 18 pipelines with semantic OOD injection (SVHN digits or DTD textures mixed into traffic signs).</w:t>
            </w:r>
          </w:p>
        </w:tc>
      </w:tr>
      <w:tr>
        <w:trPr>
          <w:cantSplit/>
        </w:trPr>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Stratum 3: Binary &amp; Weight Tampering (36)</w:t>
            </w:r>
          </w:p>
        </w:tc>
        <w:tc>
          <w:tcPr>
            <w:tcW w:type="dxa" w:w="67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18 pipelines with targeted single-tensor weight bitflips (Bit-Flip Attack / BFA) + 18 pipelines with full checkpoint swap or truncated ONNX graph nodes.</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Stratum 4: Neural Backdoor Trojans (36)</w:t>
            </w:r>
          </w:p>
        </w:tc>
        <w:tc>
          <w:tcPr>
            <w:tcW w:type="dxa" w:w="67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12 BadNets patch triggers (checkerboard, solid square, cross), 12 Blended triggers (alpha = 0.15 Hello Kitty / random noise blend), and 12 WaNet / clean-label frequency triggers across target classes.</w:t>
            </w:r>
          </w:p>
        </w:tc>
      </w:tr>
      <w:tr>
        <w:trPr>
          <w:cantSplit/>
        </w:trPr>
        <w:tc>
          <w:tcPr>
            <w:tcW w:type="dxa" w:w="259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Stratum 5: Inference Provenance Forgery (36)</w:t>
            </w:r>
          </w:p>
        </w:tc>
        <w:tc>
          <w:tcPr>
            <w:tcW w:type="dxa" w:w="676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18 unverified model-swap replay attacks (claiming output came from verified Model v1.0 when executed on modified Model v1.1) + 18 altered input/confidence ledger tampering cases.</w:t>
            </w:r>
          </w:p>
        </w:tc>
      </w:tr>
      <w:tr>
        <w:trPr>
          <w:cantSplit/>
        </w:trPr>
        <w:tc>
          <w:tcPr>
            <w:tcW w:type="dxa" w:w="259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Compute &amp; Latency Accounting</w:t>
            </w:r>
          </w:p>
        </w:tc>
        <w:tc>
          <w:tcPr>
            <w:tcW w:type="dxa" w:w="676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Every baseline logs exact wall-clock verification latency (ms), CPU memory peak (MB), and forward/backward pass counts per checkpoint on a standardized 4-vCPU CPUExecutionProvider container.</w:t>
            </w:r>
          </w:p>
        </w:tc>
      </w:tr>
    </w:tbl>
    <w:p>
      <w:pPr>
        <w:spacing w:before="0" w:after="80"/>
      </w:pPr>
    </w:p>
    <w:p>
      <w:pPr>
        <w:keepNext/>
        <w:spacing w:before="120" w:after="60"/>
        <w:jc w:val="center"/>
      </w:pPr>
      <w:r>
        <w:drawing>
          <wp:inline xmlns:a="http://schemas.openxmlformats.org/drawingml/2006/main" xmlns:pic="http://schemas.openxmlformats.org/drawingml/2006/picture">
            <wp:extent cx="5852160" cy="2150255"/>
            <wp:docPr id="3" name="Picture 3"/>
            <wp:cNvGraphicFramePr>
              <a:graphicFrameLocks noChangeAspect="1"/>
            </wp:cNvGraphicFramePr>
            <a:graphic>
              <a:graphicData uri="http://schemas.openxmlformats.org/drawingml/2006/picture">
                <pic:pic>
                  <pic:nvPicPr>
                    <pic:cNvPr id="0" name="fig2_pareto_and_triggers.png"/>
                    <pic:cNvPicPr/>
                  </pic:nvPicPr>
                  <pic:blipFill>
                    <a:blip r:embed="rId11"/>
                    <a:stretch>
                      <a:fillRect/>
                    </a:stretch>
                  </pic:blipFill>
                  <pic:spPr>
                    <a:xfrm>
                      <a:off x="0" y="0"/>
                      <a:ext cx="5852160" cy="2150255"/>
                    </a:xfrm>
                    <a:prstGeom prst="rect"/>
                  </pic:spPr>
                </pic:pic>
              </a:graphicData>
            </a:graphic>
          </wp:inline>
        </w:drawing>
      </w:r>
    </w:p>
    <w:p>
      <w:pPr>
        <w:spacing w:before="0" w:after="160"/>
        <w:jc w:val="center"/>
      </w:pPr>
      <w:r>
        <w:rPr>
          <w:rFonts w:ascii="Calibri" w:hAnsi="Calibri"/>
          <w:i/>
          <w:color w:val="5B5750"/>
          <w:sz w:val="19"/>
        </w:rPr>
        <w:t>Figure 3: (A) Accuracy-Latency Pareto frontier comparing VISENTRA-Complete against five baselines on VisentraBench-180. (B) Actual trigger-consistency telemetry recorded in visentra.db for Model 0a1de9e0 across candidate perturbation vectors.</w:t>
      </w:r>
    </w:p>
    <w:p>
      <w:pPr>
        <w:keepNext/>
        <w:spacing w:before="320" w:after="120"/>
        <w:pBdr>
          <w:bottom w:val="single" w:sz="6" w:space="3" w:color="C9A227"/>
        </w:pBdr>
      </w:pPr>
      <w:r>
        <w:rPr>
          <w:rFonts w:ascii="Calibri" w:hAnsi="Calibri"/>
          <w:b/>
          <w:color w:val="5C1A2B"/>
          <w:sz w:val="32"/>
        </w:rPr>
        <w:t>12. Baselines for Empirical Comparison</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44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Baseline Method</w:t>
            </w:r>
          </w:p>
        </w:tc>
        <w:tc>
          <w:tcPr>
            <w:tcW w:type="dxa" w:w="3456"/>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System Description</w:t>
            </w:r>
          </w:p>
        </w:tc>
        <w:tc>
          <w:tcPr>
            <w:tcW w:type="dxa" w:w="3456"/>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What It Isolates &amp; Tests</w:t>
            </w:r>
          </w:p>
        </w:tc>
      </w:tr>
      <w:tr>
        <w:trPr>
          <w:cantSplit/>
        </w:trPr>
        <w:tc>
          <w:tcPr>
            <w:tcW w:type="dxa" w:w="24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B1: Cryptographic Hash-Only</w:t>
              <w:br/>
              <w:t>(SLSA / in-toto style)</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Verifies SHA-256 binary digests and Ed25519 signatures across Dataset, Model, and Inference nodes, with zero statistical data checks or Trojan scans.</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Lower bound on latency (~18 ms), but fails completely (0% recall) on pre-registration dataset poisoning and embedded neural Trojans.</w:t>
            </w:r>
          </w:p>
        </w:tc>
      </w:tr>
      <w:tr>
        <w:trPr>
          <w:cantSplit/>
        </w:trPr>
        <w:tc>
          <w:tcPr>
            <w:tcW w:type="dxa" w:w="24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B2: Visentra Prototype</w:t>
              <w:br/>
              <w:t>(Current Unfinished Repo)</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64-bit pHash + 96-bin color histogram OOD + 4-trigger black-box probe without white-box escalation or real ECDSA signature verification.</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Measures the baseline capability of the existing codebase once archive unpacking and real ONNX loading are enabled.</w:t>
            </w:r>
          </w:p>
        </w:tc>
      </w:tr>
      <w:tr>
        <w:trPr>
          <w:cantSplit/>
        </w:trPr>
        <w:tc>
          <w:tcPr>
            <w:tcW w:type="dxa" w:w="24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B3: STRIP-Only Runtime Filter</w:t>
              <w:br/>
              <w:t>(Gao et al., ACSAC 2019)</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Black-box superimposition entropy check across 20 clean overlays per test image without spatial trigger consistency or activation clustering.</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Tests whether input-entropy alone can flag dormant Trojans without structured spatial trigger probing.</w:t>
            </w:r>
          </w:p>
        </w:tc>
      </w:tr>
      <w:tr>
        <w:trPr>
          <w:cantSplit/>
        </w:trPr>
        <w:tc>
          <w:tcPr>
            <w:tcW w:type="dxa" w:w="24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B4: Activation Clustering Only</w:t>
              <w:br/>
              <w:t>(Chen et al., SafeAI 2019)</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Always runs penultimate-layer PCA + 2-means clustering across all classes without a fast Stage-1 black-box gate.</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Isolates the latency savings and precision gain of VISENTRA's Stage-1 trigger-consistency gate.</w:t>
            </w:r>
          </w:p>
        </w:tc>
      </w:tr>
      <w:tr>
        <w:trPr>
          <w:cantSplit/>
        </w:trPr>
        <w:tc>
          <w:tcPr>
            <w:tcW w:type="dxa" w:w="24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B5: Full Neural Cleanse</w:t>
              <w:br/>
              <w:t>(Wang et al., IEEE S&amp;P 2019)</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White-box L1 trigger reverse-engineering optimization across every output class k in {1..K} plus MAD outlier detection.</w:t>
            </w:r>
          </w:p>
        </w:tc>
        <w:tc>
          <w:tcPr>
            <w:tcW w:type="dxa" w:w="345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Upper compute bound (~18.4s per checkpoint on CPU); tests whether VISENTRA-Complete matches white-box recall at &lt;1s latency.</w:t>
            </w:r>
          </w:p>
        </w:tc>
      </w:tr>
      <w:tr>
        <w:trPr>
          <w:cantSplit/>
        </w:trPr>
        <w:tc>
          <w:tcPr>
            <w:tcW w:type="dxa" w:w="24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VISENTRA-Complete</w:t>
              <w:br/>
              <w:t>(Proposed Hybrid System)</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Merkle + pHash + 512-D MobileNetV2 OOD + Two-Stage (Black-Box Probe -&gt; White-Box Activation/Spectral) Gate + Ed25519 Inference Cascade.</w:t>
            </w:r>
          </w:p>
        </w:tc>
        <w:tc>
          <w:tcPr>
            <w:tcW w:type="dxa" w:w="345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The complete proposed system combining cryptographic non-repudiation with budgeted behavioral assurance.</w:t>
            </w:r>
          </w:p>
        </w:tc>
      </w:tr>
    </w:tbl>
    <w:p>
      <w:pPr>
        <w:spacing w:before="0" w:after="80"/>
      </w:pPr>
    </w:p>
    <w:p>
      <w:pPr>
        <w:keepNext/>
        <w:spacing w:before="320" w:after="120"/>
        <w:pBdr>
          <w:bottom w:val="single" w:sz="6" w:space="3" w:color="C9A227"/>
        </w:pBdr>
      </w:pPr>
      <w:r>
        <w:rPr>
          <w:rFonts w:ascii="Calibri" w:hAnsi="Calibri"/>
          <w:b/>
          <w:color w:val="5C1A2B"/>
          <w:sz w:val="32"/>
        </w:rPr>
        <w:t>13. Evaluation Metrics</w:t>
      </w:r>
    </w:p>
    <w:tbl>
      <w:tblPr>
        <w:tblW w:type="auto" w:w="0"/>
        <w:jc w:val="center"/>
        <w:tblLook w:firstColumn="1" w:firstRow="1" w:lastColumn="0" w:lastRow="0" w:noHBand="0" w:noVBand="1" w:val="04A0"/>
      </w:tblPr>
      <w:tblGrid>
        <w:gridCol w:w="4680"/>
        <w:gridCol w:w="4680"/>
      </w:tblGrid>
      <w:tr>
        <w:trPr>
          <w:tblHeader/>
          <w:cantSplit/>
        </w:trPr>
        <w:tc>
          <w:tcPr>
            <w:tcW w:type="dxa" w:w="3024"/>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Metric</w:t>
            </w:r>
          </w:p>
        </w:tc>
        <w:tc>
          <w:tcPr>
            <w:tcW w:type="dxa" w:w="6336"/>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Formal Definition &amp; Target Benchmark Threshold</w:t>
            </w:r>
          </w:p>
        </w:tc>
      </w:tr>
      <w:tr>
        <w:trPr>
          <w:cantSplit/>
        </w:trPr>
        <w:tc>
          <w:tcPr>
            <w:tcW w:type="dxa" w:w="302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Multi-Stratum Attack Recall (%)</w:t>
            </w:r>
          </w:p>
        </w:tc>
        <w:tc>
          <w:tcPr>
            <w:tcW w:type="dxa" w:w="633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Fraction of compromised supply-chain pipelines across Strata 2–5 correctly flagged as SUSPICIOUS or TAMPERED (Target: &gt;= 92.0% overall; 100% on Strata 3 &amp; 5).</w:t>
            </w:r>
          </w:p>
        </w:tc>
      </w:tr>
      <w:tr>
        <w:trPr>
          <w:cantSplit/>
        </w:trPr>
        <w:tc>
          <w:tcPr>
            <w:tcW w:type="dxa" w:w="302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Clean Pipeline False Positive Rate (FPR)</w:t>
            </w:r>
          </w:p>
        </w:tc>
        <w:tc>
          <w:tcPr>
            <w:tcW w:type="dxa" w:w="633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Fraction of Stratum 1 benign pipelines falsely flagged as suspicious or tampered at calibrated thresholds tau_dup=8, tau_ood=0.70, tau_bd=0.30 (Target: &lt;= 5.0%).</w:t>
            </w:r>
          </w:p>
        </w:tc>
      </w:tr>
      <w:tr>
        <w:trPr>
          <w:cantSplit/>
        </w:trPr>
        <w:tc>
          <w:tcPr>
            <w:tcW w:type="dxa" w:w="302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Per-Checkpoint Verification Latency (ms)</w:t>
            </w:r>
          </w:p>
        </w:tc>
        <w:tc>
          <w:tcPr>
            <w:tcW w:type="dxa" w:w="633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Wall-clock time from model upload to completed assurance verdict on a 4-vCPU CPU container (Target: &lt;= 800 ms mean via two-stage gating vs. &gt;15,000 ms for Neural Cleanse).</w:t>
            </w:r>
          </w:p>
        </w:tc>
      </w:tr>
      <w:tr>
        <w:trPr>
          <w:cantSplit/>
        </w:trPr>
        <w:tc>
          <w:tcPr>
            <w:tcW w:type="dxa" w:w="3024"/>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OOD &amp; Poison Detection AUROC</w:t>
            </w:r>
          </w:p>
        </w:tc>
        <w:tc>
          <w:tcPr>
            <w:tcW w:type="dxa" w:w="6336"/>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Area Under the ROC Curve for separating injected OOD/poisoned samples from clean in-distribution samples in Pillar I (Target: &gt;= 0.91 with 512-D MobileNetV2 embeddings vs. ~0.64 with color histograms).</w:t>
            </w:r>
          </w:p>
        </w:tc>
      </w:tr>
      <w:tr>
        <w:trPr>
          <w:cantSplit/>
        </w:trPr>
        <w:tc>
          <w:tcPr>
            <w:tcW w:type="dxa" w:w="3024"/>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Cascade Invalidation Completeness &amp; Lag</w:t>
            </w:r>
          </w:p>
        </w:tc>
        <w:tc>
          <w:tcPr>
            <w:tcW w:type="dxa" w:w="6336"/>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Percentage of downstream inference nodes automatically transitioned to MISMATCH upon parent weight tamper, and total WebSocket propagation time (Target: 100% completeness, &lt;1.0s for 5 hops).</w:t>
            </w:r>
          </w:p>
        </w:tc>
      </w:tr>
    </w:tbl>
    <w:p>
      <w:pPr>
        <w:spacing w:before="0" w:after="80"/>
      </w:pPr>
    </w:p>
    <w:p>
      <w:pPr>
        <w:keepNext/>
        <w:spacing w:before="320" w:after="120"/>
        <w:pBdr>
          <w:bottom w:val="single" w:sz="6" w:space="3" w:color="C9A227"/>
        </w:pBdr>
      </w:pPr>
      <w:r>
        <w:rPr>
          <w:rFonts w:ascii="Calibri" w:hAnsi="Calibri"/>
          <w:b/>
          <w:color w:val="5C1A2B"/>
          <w:sz w:val="32"/>
        </w:rPr>
        <w:t>14. Tech Stack and Production Implementation Plan</w:t>
      </w:r>
    </w:p>
    <w:p>
      <w:pPr>
        <w:pStyle w:val="ListBullet"/>
        <w:spacing w:before="20" w:after="80" w:line="276" w:lineRule="auto"/>
      </w:pPr>
      <w:r>
        <w:rPr>
          <w:rFonts w:ascii="Calibri" w:hAnsi="Calibri"/>
          <w:b/>
          <w:color w:val="2B2118"/>
          <w:sz w:val="22"/>
        </w:rPr>
        <w:t xml:space="preserve">Backend &amp; Persistence Layer: </w:t>
      </w:r>
      <w:r>
        <w:rPr>
          <w:rFonts w:ascii="Calibri" w:hAnsi="Calibri"/>
          <w:color w:val="2B2118"/>
          <w:sz w:val="22"/>
        </w:rPr>
        <w:t>Python 3.11+, FastAPI 0.111, Pydantic v2, SQLAlchemy 2.0 (AsyncSession with asyncpg for PostgreSQL 16 in Docker and aiosqlite for zero-config local execution), Alembic 1.13 for versioned schema migrations.</w:t>
      </w:r>
    </w:p>
    <w:p>
      <w:pPr>
        <w:pStyle w:val="ListBullet"/>
        <w:spacing w:before="20" w:after="80" w:line="276" w:lineRule="auto"/>
      </w:pPr>
      <w:r>
        <w:rPr>
          <w:rFonts w:ascii="Calibri" w:hAnsi="Calibri"/>
          <w:b/>
          <w:color w:val="2B2118"/>
          <w:sz w:val="22"/>
        </w:rPr>
        <w:t xml:space="preserve">ML Forensics &amp; Cryptographic Engine: </w:t>
      </w:r>
      <w:r>
        <w:rPr>
          <w:rFonts w:ascii="Calibri" w:hAnsi="Calibri"/>
          <w:color w:val="2B2118"/>
          <w:sz w:val="22"/>
        </w:rPr>
        <w:t>ONNXRuntime 1.18 (CPUExecutionProvider), PyTorch 2.3 + Torchvision 0.18 (for benchmark model generation &amp; MobileNetV2 embedding export), OpenCV-Headless 4.9, scikit-learn 1.5 (IsolationForest, PCA, KMeans, silhouette_score), ImageHash 4.3, Cryptography 42.0 (Ed25519 signing).</w:t>
      </w:r>
    </w:p>
    <w:p>
      <w:pPr>
        <w:pStyle w:val="ListBullet"/>
        <w:spacing w:before="20" w:after="80" w:line="276" w:lineRule="auto"/>
      </w:pPr>
      <w:r>
        <w:rPr>
          <w:rFonts w:ascii="Calibri" w:hAnsi="Calibri"/>
          <w:b/>
          <w:color w:val="2B2118"/>
          <w:sz w:val="22"/>
        </w:rPr>
        <w:t xml:space="preserve">Execution Sandbox: </w:t>
      </w:r>
      <w:r>
        <w:rPr>
          <w:rFonts w:ascii="Calibri" w:hAnsi="Calibri"/>
          <w:color w:val="2B2118"/>
          <w:sz w:val="22"/>
        </w:rPr>
        <w:t>Dedicated subprocess worker (backend/sandbox/runner.py) enforcing POSIX resource limits (RLIMIT_AS, RLIMIT_CPU), read-only model mounts, SafeTensors / ONNX protobuf validation, and zero outbound network sockets.</w:t>
      </w:r>
    </w:p>
    <w:p>
      <w:pPr>
        <w:pStyle w:val="ListBullet"/>
        <w:spacing w:before="20" w:after="80" w:line="276" w:lineRule="auto"/>
      </w:pPr>
      <w:r>
        <w:rPr>
          <w:rFonts w:ascii="Calibri" w:hAnsi="Calibri"/>
          <w:b/>
          <w:color w:val="2B2118"/>
          <w:sz w:val="22"/>
        </w:rPr>
        <w:t xml:space="preserve">Frontend Forensic Instrument: </w:t>
      </w:r>
      <w:r>
        <w:rPr>
          <w:rFonts w:ascii="Calibri" w:hAnsi="Calibri"/>
          <w:color w:val="2B2118"/>
          <w:sz w:val="22"/>
        </w:rPr>
        <w:t>React 19 + TypeScript 5.8 + Vite 6, @xyflow/react 12.6 (orthogonal smoothstep lineage graph), custom zero-dependency SVG components for ConfidenceShiftScale, HashDiff, and 2D PCA ActivationScatter, Axios + native WebSocket hook with auto-reconnect.</w:t>
      </w:r>
    </w:p>
    <w:p>
      <w:pPr>
        <w:keepNext/>
        <w:spacing w:before="320" w:after="120"/>
        <w:pBdr>
          <w:bottom w:val="single" w:sz="6" w:space="3" w:color="C9A227"/>
        </w:pBdr>
      </w:pPr>
      <w:r>
        <w:rPr>
          <w:rFonts w:ascii="Calibri" w:hAnsi="Calibri"/>
          <w:b/>
          <w:color w:val="5C1A2B"/>
          <w:sz w:val="32"/>
        </w:rPr>
        <w:t>15. Fourteen-Week Execution &amp; Completion Timeline</w:t>
      </w:r>
    </w:p>
    <w:tbl>
      <w:tblPr>
        <w:tblW w:type="auto" w:w="0"/>
        <w:jc w:val="center"/>
        <w:tblLook w:firstColumn="1" w:firstRow="1" w:lastColumn="0" w:lastRow="0" w:noHBand="0" w:noVBand="1" w:val="04A0"/>
      </w:tblPr>
      <w:tblGrid>
        <w:gridCol w:w="4680"/>
        <w:gridCol w:w="4680"/>
      </w:tblGrid>
      <w:tr>
        <w:trPr>
          <w:tblHeader/>
          <w:cantSplit/>
        </w:trPr>
        <w:tc>
          <w:tcPr>
            <w:tcW w:type="dxa" w:w="172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Week</w:t>
            </w:r>
          </w:p>
        </w:tc>
        <w:tc>
          <w:tcPr>
            <w:tcW w:type="dxa" w:w="763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Engineering &amp; Research Milestone</w:t>
            </w:r>
          </w:p>
        </w:tc>
      </w:tr>
      <w:tr>
        <w:trPr>
          <w:cantSplit/>
        </w:trPr>
        <w:tc>
          <w:tcPr>
            <w:tcW w:type="dxa" w:w="172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Weeks 1–2</w:t>
            </w:r>
          </w:p>
        </w:tc>
        <w:tc>
          <w:tcPr>
            <w:tcW w:type="dxa" w:w="76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Remediate Defect D-01 &amp; D-10: Implement automatic ZIP/TAR extraction in upload_dataset(), populate DatasetSample rows with pHash, and add dataset_id foreign key to Model for a true 4-tier lineage DAG.</w:t>
            </w:r>
          </w:p>
        </w:tc>
      </w:tr>
      <w:tr>
        <w:trPr>
          <w:cantSplit/>
        </w:trPr>
        <w:tc>
          <w:tcPr>
            <w:tcW w:type="dxa" w:w="172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3</w:t>
            </w:r>
          </w:p>
        </w:tc>
        <w:tc>
          <w:tcPr>
            <w:tcW w:type="dxa" w:w="76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Remediate Defect D-04: Export quantized MobileNetV2 ONNX feature extractor; replace 96-bin color histogram in dataset_checks.py with 512-D embeddings + hybrid Isolation Forest / Mahalanobis OOD scoring.</w:t>
            </w:r>
          </w:p>
        </w:tc>
      </w:tr>
      <w:tr>
        <w:trPr>
          <w:cantSplit/>
        </w:trPr>
        <w:tc>
          <w:tcPr>
            <w:tcW w:type="dxa" w:w="172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4</w:t>
            </w:r>
          </w:p>
        </w:tc>
        <w:tc>
          <w:tcPr>
            <w:tcW w:type="dxa" w:w="76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Remediate Defect D-02 &amp; D-06: Build backend/sandbox/runner.py subprocess isolation and replace os.urandom(4096) in seed_demo.py with a real, deterministic ONNX classifier containing a planted checkerboard Trojan.</w:t>
            </w:r>
          </w:p>
        </w:tc>
      </w:tr>
      <w:tr>
        <w:trPr>
          <w:cantSplit/>
        </w:trPr>
        <w:tc>
          <w:tcPr>
            <w:tcW w:type="dxa" w:w="172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Weeks 5–6</w:t>
            </w:r>
          </w:p>
        </w:tc>
        <w:tc>
          <w:tcPr>
            <w:tcW w:type="dxa" w:w="76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Implement Two-Stage Trojan Interrogation (Pillar III): Expand Stage-1 trigger library (patch, blend, watermark + STRIP entropy) and build Stage-2 penultimate layer PCA + KMeans activation clustering; persist real flip image pairs (fixing Defect D-03).</w:t>
            </w:r>
          </w:p>
        </w:tc>
      </w:tr>
      <w:tr>
        <w:trPr>
          <w:cantSplit/>
        </w:trPr>
        <w:tc>
          <w:tcPr>
            <w:tcW w:type="dxa" w:w="172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7</w:t>
            </w:r>
          </w:p>
        </w:tc>
        <w:tc>
          <w:tcPr>
            <w:tcW w:type="dxa" w:w="76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Remediate Defect D-05, D-07 &amp; D-11: Implement real Ed25519 signature generation/verification in inference.py, wire AuditLog persistence across all routers, and implement staggered 150ms WebSocket cascade invalidation across dependent inferences.</w:t>
            </w:r>
          </w:p>
        </w:tc>
      </w:tr>
      <w:tr>
        <w:trPr>
          <w:cantSplit/>
        </w:trPr>
        <w:tc>
          <w:tcPr>
            <w:tcW w:type="dxa" w:w="172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8</w:t>
            </w:r>
          </w:p>
        </w:tc>
        <w:tc>
          <w:tcPr>
            <w:tcW w:type="dxa" w:w="76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Remediate Defect D-08, D-09, D-12 &amp; D-13: Fix verify_model() to return actual disk SHA-256, decouple S_model from S_backdoor in report.py, fix model_hash display in InferenceEvidencePanel, and add the '+ Ingest Artifact' UI drawer and SVG ActivationScatter.</w:t>
            </w:r>
          </w:p>
        </w:tc>
      </w:tr>
      <w:tr>
        <w:trPr>
          <w:cantSplit/>
        </w:trPr>
        <w:tc>
          <w:tcPr>
            <w:tcW w:type="dxa" w:w="172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Weeks 9–10</w:t>
            </w:r>
          </w:p>
        </w:tc>
        <w:tc>
          <w:tcPr>
            <w:tcW w:type="dxa" w:w="76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Construct VisentraBench-180 (180 pipelines across 5 strata using CIFAR-10, GTSRB, and Tiny-ImageNet) and execute all 5 baseline comparisons across 5 random seeds.</w:t>
            </w:r>
          </w:p>
        </w:tc>
      </w:tr>
      <w:tr>
        <w:trPr>
          <w:cantSplit/>
        </w:trPr>
        <w:tc>
          <w:tcPr>
            <w:tcW w:type="dxa" w:w="172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11</w:t>
            </w:r>
          </w:p>
        </w:tc>
        <w:tc>
          <w:tcPr>
            <w:tcW w:type="dxa" w:w="76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Conduct Pareto frontier analysis (Recall vs. Latency), Pillar I embedding ablations (MobileNetV2 vs. color histogram vs. pHash), and threshold calibration (tau_dup, tau_ood, tau_gate, tau_bd).</w:t>
            </w:r>
          </w:p>
        </w:tc>
      </w:tr>
      <w:tr>
        <w:trPr>
          <w:cantSplit/>
        </w:trPr>
        <w:tc>
          <w:tcPr>
            <w:tcW w:type="dxa" w:w="172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12</w:t>
            </w:r>
          </w:p>
        </w:tc>
        <w:tc>
          <w:tcPr>
            <w:tcW w:type="dxa" w:w="76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Perform failure-mode taxonomy and adversarial evasion stress-testing (adaptive triggers, low-alpha blends, collision attacks) and document explicit limitations.</w:t>
            </w:r>
          </w:p>
        </w:tc>
      </w:tr>
      <w:tr>
        <w:trPr>
          <w:cantSplit/>
        </w:trPr>
        <w:tc>
          <w:tcPr>
            <w:tcW w:type="dxa" w:w="172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13</w:t>
            </w:r>
          </w:p>
        </w:tc>
        <w:tc>
          <w:tcPr>
            <w:tcW w:type="dxa" w:w="763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Compile final publication-style technical report, exportable PDF/JSON assurance certificates, and Alembic migration scripts (fixing Defect D-14).</w:t>
            </w:r>
          </w:p>
        </w:tc>
      </w:tr>
      <w:tr>
        <w:trPr>
          <w:cantSplit/>
        </w:trPr>
        <w:tc>
          <w:tcPr>
            <w:tcW w:type="dxa" w:w="172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Week 14</w:t>
            </w:r>
          </w:p>
        </w:tc>
        <w:tc>
          <w:tcPr>
            <w:tcW w:type="dxa" w:w="763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Execute end-to-end 5-minute live demo rehearsals, Lighthouse UI performance audit, PyTest suite verification (&gt;=90% coverage on assurance modules), and final repository packaging.</w:t>
            </w:r>
          </w:p>
        </w:tc>
      </w:tr>
    </w:tbl>
    <w:p>
      <w:pPr>
        <w:spacing w:before="0" w:after="80"/>
      </w:pPr>
    </w:p>
    <w:p>
      <w:pPr>
        <w:keepNext/>
        <w:spacing w:before="320" w:after="120"/>
        <w:pBdr>
          <w:bottom w:val="single" w:sz="6" w:space="3" w:color="C9A227"/>
        </w:pBdr>
      </w:pPr>
      <w:r>
        <w:rPr>
          <w:rFonts w:ascii="Calibri" w:hAnsi="Calibri"/>
          <w:b/>
          <w:color w:val="5C1A2B"/>
          <w:sz w:val="32"/>
        </w:rPr>
        <w:t>16. Risk Register and Mitigation Strategies</w:t>
      </w:r>
    </w:p>
    <w:tbl>
      <w:tblPr>
        <w:tblW w:type="auto" w:w="0"/>
        <w:jc w:val="center"/>
        <w:tblLook w:firstColumn="1" w:firstRow="1" w:lastColumn="0" w:lastRow="0" w:noHBand="0" w:noVBand="1" w:val="04A0"/>
      </w:tblPr>
      <w:tblGrid>
        <w:gridCol w:w="4680"/>
        <w:gridCol w:w="4680"/>
      </w:tblGrid>
      <w:tr>
        <w:trPr>
          <w:tblHeader/>
          <w:cantSplit/>
        </w:trPr>
        <w:tc>
          <w:tcPr>
            <w:tcW w:type="dxa" w:w="3312"/>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Identified Technical / Research Risk</w:t>
            </w:r>
          </w:p>
        </w:tc>
        <w:tc>
          <w:tcPr>
            <w:tcW w:type="dxa" w:w="6048"/>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Concrete Mitigation Strategy</w:t>
            </w:r>
          </w:p>
        </w:tc>
      </w:tr>
      <w:tr>
        <w:trPr>
          <w:cantSplit/>
        </w:trPr>
        <w:tc>
          <w:tcPr>
            <w:tcW w:type="dxa" w:w="331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Adaptive / Invisible Triggers Evade Fixed Patch Library</w:t>
              <w:br/>
              <w:t>(WaNet, frequency-domain, or sample-specific triggers)</w:t>
            </w:r>
          </w:p>
        </w:tc>
        <w:tc>
          <w:tcPr>
            <w:tcW w:type="dxa" w:w="60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Combine spatial patch probing with STRIP superimposition entropy (Stage 1) and penultimate activation clustering (Stage 2), which detect feature-space anomalies regardless of trigger shape; explicitly state fixed-library bounds in the Assurance Report limitations.</w:t>
            </w:r>
          </w:p>
        </w:tc>
      </w:tr>
      <w:tr>
        <w:trPr>
          <w:cantSplit/>
        </w:trPr>
        <w:tc>
          <w:tcPr>
            <w:tcW w:type="dxa" w:w="331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High False-Positive Rate on Naturally Diverse Datasets</w:t>
              <w:br/>
              <w:t>(e.g., multi-lighting outdoor scenes flagged as OOD)</w:t>
            </w:r>
          </w:p>
        </w:tc>
        <w:tc>
          <w:tcPr>
            <w:tcW w:type="dxa" w:w="60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Replace naive color histograms with L2-normalized 512-D MobileNetV2 semantic embeddings and calibrate contamination/Mahalanobis thresholds (tau_ood = 0.70) on validation splits with 95% confidence intervals.</w:t>
            </w:r>
          </w:p>
        </w:tc>
      </w:tr>
      <w:tr>
        <w:trPr>
          <w:cantSplit/>
        </w:trPr>
        <w:tc>
          <w:tcPr>
            <w:tcW w:type="dxa" w:w="331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Arbitrary Code Execution via Untrusted Model Uploads</w:t>
              <w:br/>
              <w:t>(Malicious pickle payloads in PyTorch .pt/.pth files)</w:t>
            </w:r>
          </w:p>
        </w:tc>
        <w:tc>
          <w:tcPr>
            <w:tcW w:type="dxa" w:w="60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Enforce ONNX and SafeTensors as primary formats; restrict PyTorch loading to torch.load(..., weights_only=True) inside the network-isolated, memory-capped subprocess sandbox (backend/sandbox/runner.py).</w:t>
            </w:r>
          </w:p>
        </w:tc>
      </w:tr>
      <w:tr>
        <w:trPr>
          <w:cantSplit/>
        </w:trPr>
        <w:tc>
          <w:tcPr>
            <w:tcW w:type="dxa" w:w="3312"/>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color w:val="2B2118"/>
                <w:sz w:val="20"/>
              </w:rPr>
              <w:t>UI Stutter During Live WebSocket Tamper Cascades on Large Graphs</w:t>
            </w:r>
          </w:p>
        </w:tc>
        <w:tc>
          <w:tcPr>
            <w:tcW w:type="dxa" w:w="6048"/>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keepNext/>
              <w:spacing w:before="40" w:after="40" w:line="264" w:lineRule="auto"/>
            </w:pPr>
            <w:r>
              <w:rPr>
                <w:rFonts w:ascii="Calibri" w:hAnsi="Calibri"/>
                <w:b w:val="0"/>
                <w:color w:val="2B2118"/>
                <w:sz w:val="20"/>
              </w:rPr>
              <w:t>Retain React.memo custom comparator on ArtifactNode.tsx, stagger backend WebSocket broadcasts by 150ms per hop, and batch state updates in LineageGraph.tsx.</w:t>
            </w:r>
          </w:p>
        </w:tc>
      </w:tr>
      <w:tr>
        <w:trPr>
          <w:cantSplit/>
        </w:trPr>
        <w:tc>
          <w:tcPr>
            <w:tcW w:type="dxa" w:w="3312"/>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Double-Counting Penalties Skewing Composite Assurance Score</w:t>
            </w:r>
          </w:p>
        </w:tc>
        <w:tc>
          <w:tcPr>
            <w:tcW w:type="dxa" w:w="6048"/>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Enforce Equation 6's orthogonalized scoring formula so Pillar II (S_model) strictly reflects cryptographic binary/topology integrity and Pillar III (S_backdoor) strictly reflects Trojan risk.</w:t>
            </w:r>
          </w:p>
        </w:tc>
      </w:tr>
    </w:tbl>
    <w:p>
      <w:pPr>
        <w:spacing w:before="0" w:after="80"/>
      </w:pPr>
    </w:p>
    <w:p>
      <w:pPr>
        <w:keepNext/>
        <w:spacing w:before="320" w:after="120"/>
        <w:pBdr>
          <w:bottom w:val="single" w:sz="6" w:space="3" w:color="C9A227"/>
        </w:pBdr>
      </w:pPr>
      <w:r>
        <w:rPr>
          <w:rFonts w:ascii="Calibri" w:hAnsi="Calibri"/>
          <w:b/>
          <w:color w:val="5C1A2B"/>
          <w:sz w:val="32"/>
        </w:rPr>
        <w:t>17. Expected Contributions &amp; Deliverables Checklist</w:t>
      </w:r>
    </w:p>
    <w:p>
      <w:pPr>
        <w:keepNext/>
        <w:spacing w:before="240" w:after="80"/>
      </w:pPr>
      <w:r>
        <w:rPr>
          <w:rFonts w:ascii="Calibri" w:hAnsi="Calibri"/>
          <w:b/>
          <w:color w:val="2B2118"/>
          <w:sz w:val="26"/>
        </w:rPr>
        <w:t>17.1 Expected Research &amp; Engineering Contributions</w:t>
      </w:r>
    </w:p>
    <w:p>
      <w:pPr>
        <w:pStyle w:val="ListBullet"/>
        <w:spacing w:before="20" w:after="80" w:line="276" w:lineRule="auto"/>
      </w:pPr>
      <w:r>
        <w:rPr>
          <w:rFonts w:ascii="Calibri" w:hAnsi="Calibri"/>
          <w:color w:val="2B2118"/>
          <w:sz w:val="22"/>
        </w:rPr>
        <w:t>A fully remediated, end-to-end functional VISENTRA platform where dataset archive unpacking, 512-D OOD screening, real ONNX Trojan scanning, Ed25519 inference signing, and staggered WebSocket cascade invalidation operate without synthetic fallbacks.</w:t>
      </w:r>
    </w:p>
    <w:p>
      <w:pPr>
        <w:pStyle w:val="ListBullet"/>
        <w:spacing w:before="20" w:after="80" w:line="276" w:lineRule="auto"/>
      </w:pPr>
      <w:r>
        <w:rPr>
          <w:rFonts w:ascii="Calibri" w:hAnsi="Calibri"/>
          <w:color w:val="2B2118"/>
          <w:sz w:val="22"/>
        </w:rPr>
        <w:t>A novel Two-Stage Probe-to-White-Box Trojan Interrogation protocol that achieves white-box detection recall at black-box screening latency (&lt;800 ms per checkpoint).</w:t>
      </w:r>
    </w:p>
    <w:p>
      <w:pPr>
        <w:pStyle w:val="ListBullet"/>
        <w:spacing w:before="20" w:after="80" w:line="276" w:lineRule="auto"/>
      </w:pPr>
      <w:r>
        <w:rPr>
          <w:rFonts w:ascii="Calibri" w:hAnsi="Calibri"/>
          <w:color w:val="2B2118"/>
          <w:sz w:val="22"/>
        </w:rPr>
        <w:t>VisentraBench-180, a reproducible 180-pipeline benchmark dataset and evaluation harness comparing cryptographic-only, black-box, and white-box assurance baselines.</w:t>
      </w:r>
    </w:p>
    <w:p>
      <w:pPr>
        <w:pStyle w:val="ListBullet"/>
        <w:spacing w:before="20" w:after="80" w:line="276" w:lineRule="auto"/>
      </w:pPr>
      <w:r>
        <w:rPr>
          <w:rFonts w:ascii="Calibri" w:hAnsi="Calibri"/>
          <w:color w:val="2B2118"/>
          <w:sz w:val="22"/>
        </w:rPr>
        <w:t>An honest negative-result and boundary analysis documenting exactly which adaptive triggers (e.g., all-to-all frequency perturbations below tau_gate) evade black-box probing.</w:t>
      </w:r>
    </w:p>
    <w:p>
      <w:pPr>
        <w:keepNext/>
        <w:spacing w:before="240" w:after="80"/>
      </w:pPr>
      <w:r>
        <w:rPr>
          <w:rFonts w:ascii="Calibri" w:hAnsi="Calibri"/>
          <w:b/>
          <w:color w:val="2B2118"/>
          <w:sz w:val="26"/>
        </w:rPr>
        <w:t>17.2 Complete Deliverables Checklist</w:t>
      </w:r>
    </w:p>
    <w:p>
      <w:pPr>
        <w:pStyle w:val="ListBullet"/>
        <w:spacing w:before="20" w:after="80" w:line="276" w:lineRule="auto"/>
      </w:pPr>
      <w:r>
        <w:rPr>
          <w:rFonts w:ascii="Calibri" w:hAnsi="Calibri"/>
          <w:color w:val="2B2118"/>
          <w:sz w:val="22"/>
        </w:rPr>
        <w:t>[ ] Remediated Backend API &amp; Assurance Engine (all 14 defects D-01 through D-14 resolved and verified via PyTest)</w:t>
      </w:r>
    </w:p>
    <w:p>
      <w:pPr>
        <w:pStyle w:val="ListBullet"/>
        <w:spacing w:before="20" w:after="80" w:line="276" w:lineRule="auto"/>
      </w:pPr>
      <w:r>
        <w:rPr>
          <w:rFonts w:ascii="Calibri" w:hAnsi="Calibri"/>
          <w:color w:val="2B2118"/>
          <w:sz w:val="22"/>
        </w:rPr>
        <w:t>[ ] Subprocess Model Execution Sandbox (backend/sandbox/runner.py with POSIX resource caps and weights_only enforcement)</w:t>
      </w:r>
    </w:p>
    <w:p>
      <w:pPr>
        <w:pStyle w:val="ListBullet"/>
        <w:spacing w:before="20" w:after="80" w:line="276" w:lineRule="auto"/>
      </w:pPr>
      <w:r>
        <w:rPr>
          <w:rFonts w:ascii="Calibri" w:hAnsi="Calibri"/>
          <w:color w:val="2B2118"/>
          <w:sz w:val="22"/>
        </w:rPr>
        <w:t>[ ] Real Seeded ONNX Trojan Classifier &amp; Multi-Image Dataset Archive (scripts/seed_demo.py producing real flips and embeddings)</w:t>
      </w:r>
    </w:p>
    <w:p>
      <w:pPr>
        <w:pStyle w:val="ListBullet"/>
        <w:spacing w:before="20" w:after="80" w:line="276" w:lineRule="auto"/>
      </w:pPr>
      <w:r>
        <w:rPr>
          <w:rFonts w:ascii="Calibri" w:hAnsi="Calibri"/>
          <w:color w:val="2B2118"/>
          <w:sz w:val="22"/>
        </w:rPr>
        <w:t>[ ] Completed Warm-Paper Forensic UI with Artifact Ingestion Drawer, Real Pairwise Flip Images, and 2D PCA Activation Scatter</w:t>
      </w:r>
    </w:p>
    <w:p>
      <w:pPr>
        <w:pStyle w:val="ListBullet"/>
        <w:spacing w:before="20" w:after="80" w:line="276" w:lineRule="auto"/>
      </w:pPr>
      <w:r>
        <w:rPr>
          <w:rFonts w:ascii="Calibri" w:hAnsi="Calibri"/>
          <w:color w:val="2B2118"/>
          <w:sz w:val="22"/>
        </w:rPr>
        <w:t>[ ] Ed25519 Cryptographic Signing &amp; Verification for Inference Evidence Ledgers and Exportable Audit Certificates</w:t>
      </w:r>
    </w:p>
    <w:p>
      <w:pPr>
        <w:pStyle w:val="ListBullet"/>
        <w:spacing w:before="20" w:after="80" w:line="276" w:lineRule="auto"/>
      </w:pPr>
      <w:r>
        <w:rPr>
          <w:rFonts w:ascii="Calibri" w:hAnsi="Calibri"/>
          <w:color w:val="2B2118"/>
          <w:sz w:val="22"/>
        </w:rPr>
        <w:t>[ ] VisentraBench-180 Evaluation Suite, Pareto Frontier Plots, and Final Technical Report</w:t>
      </w:r>
    </w:p>
    <w:p>
      <w:pPr>
        <w:keepNext/>
        <w:spacing w:before="320" w:after="120"/>
        <w:pBdr>
          <w:bottom w:val="single" w:sz="6" w:space="3" w:color="C9A227"/>
        </w:pBdr>
      </w:pPr>
      <w:r>
        <w:rPr>
          <w:rFonts w:ascii="Calibri" w:hAnsi="Calibri"/>
          <w:b/>
          <w:color w:val="5C1A2B"/>
          <w:sz w:val="32"/>
        </w:rPr>
        <w:t>18. Glossary of Cryptographic &amp; Adversarial ML Terms</w:t>
      </w:r>
    </w:p>
    <w:tbl>
      <w:tblPr>
        <w:tblW w:type="auto" w:w="0"/>
        <w:jc w:val="center"/>
        <w:tblLook w:firstColumn="1" w:firstRow="1" w:lastColumn="0" w:lastRow="0" w:noHBand="0" w:noVBand="1" w:val="04A0"/>
      </w:tblPr>
      <w:tblGrid>
        <w:gridCol w:w="4680"/>
        <w:gridCol w:w="4680"/>
      </w:tblGrid>
      <w:tr>
        <w:trPr>
          <w:tblHeader/>
          <w:cantSplit/>
        </w:trPr>
        <w:tc>
          <w:tcPr>
            <w:tcW w:type="dxa" w:w="2880"/>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Term</w:t>
            </w:r>
          </w:p>
        </w:tc>
        <w:tc>
          <w:tcPr>
            <w:tcW w:type="dxa" w:w="6480"/>
            <w:vAlign w:val="center"/>
            <w:shd w:fill="5C1A2B"/>
            <w:tcMar>
              <w:top w:w="100" w:type="dxa"/>
              <w:bottom w:w="100" w:type="dxa"/>
              <w:left w:w="120" w:type="dxa"/>
              <w:right w:w="120" w:type="dxa"/>
            </w:tcMar>
            <w:tcBorders>
              <w:top w:val="single" w:sz="6" w:space="0" w:color="5C1A2B"/>
              <w:bottom w:val="single" w:sz="6" w:space="0" w:color="C9A227"/>
              <w:left w:val="single" w:sz="6" w:space="0" w:color="5C1A2B"/>
              <w:right w:val="single" w:sz="6" w:space="0" w:color="5C1A2B"/>
            </w:tcBorders>
          </w:tcPr>
          <w:p>
            <w:pPr>
              <w:keepNext/>
              <w:spacing w:before="40" w:after="40"/>
            </w:pPr>
            <w:r>
              <w:rPr>
                <w:rFonts w:ascii="Calibri" w:hAnsi="Calibri"/>
                <w:b/>
                <w:color w:val="C9A227"/>
                <w:sz w:val="21"/>
              </w:rPr>
              <w:t>Precise Technical Definition in VISENTRA</w:t>
            </w:r>
          </w:p>
        </w:tc>
      </w:tr>
      <w:tr>
        <w:trPr>
          <w:cantSplit/>
        </w:trPr>
        <w:tc>
          <w:tcPr>
            <w:tcW w:type="dxa" w:w="28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Content-Addressed Storage (CAS)</w:t>
            </w:r>
          </w:p>
        </w:tc>
        <w:tc>
          <w:tcPr>
            <w:tcW w:type="dxa" w:w="64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Storage architecture where every dataset archive and model checkpoint is named and retrieved by its cryptographic SHA-256 digest, guaranteeing immutability.</w:t>
            </w:r>
          </w:p>
        </w:tc>
      </w:tr>
      <w:tr>
        <w:trPr>
          <w:cantSplit/>
        </w:trPr>
        <w:tc>
          <w:tcPr>
            <w:tcW w:type="dxa" w:w="28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Perceptual Hash (pHash / DCT)</w:t>
            </w:r>
          </w:p>
        </w:tc>
        <w:tc>
          <w:tcPr>
            <w:tcW w:type="dxa" w:w="64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 64-bit locality-sensitive fingerprint derived from the low-frequency 8x8 Discrete Cosine Transform of an image that remains invariant under minor resizing, compression, or color shifts.</w:t>
            </w:r>
          </w:p>
        </w:tc>
      </w:tr>
      <w:tr>
        <w:trPr>
          <w:cantSplit/>
        </w:trPr>
        <w:tc>
          <w:tcPr>
            <w:tcW w:type="dxa" w:w="28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Hamming Distance (d_H)</w:t>
            </w:r>
          </w:p>
        </w:tc>
        <w:tc>
          <w:tcPr>
            <w:tcW w:type="dxa" w:w="64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The number of bit positions at which two 64-bit perceptual hashes differ; d_H &lt;= 8 indicates near-duplicate visual content.</w:t>
            </w:r>
          </w:p>
        </w:tc>
      </w:tr>
      <w:tr>
        <w:trPr>
          <w:cantSplit/>
        </w:trPr>
        <w:tc>
          <w:tcPr>
            <w:tcW w:type="dxa" w:w="28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Isolation Forest &amp; Mahalanobis OOD</w:t>
            </w:r>
          </w:p>
        </w:tc>
        <w:tc>
          <w:tcPr>
            <w:tcW w:type="dxa" w:w="64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Unsupervised anomaly detection methods measuring tree-partitioning path length and covariance-scaled distance in 512-D deep embedding space to flag Out-of-Distribution samples.</w:t>
            </w:r>
          </w:p>
        </w:tc>
      </w:tr>
      <w:tr>
        <w:trPr>
          <w:cantSplit/>
        </w:trPr>
        <w:tc>
          <w:tcPr>
            <w:tcW w:type="dxa" w:w="28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Neural Trojan / Backdoor Attack</w:t>
            </w:r>
          </w:p>
        </w:tc>
        <w:tc>
          <w:tcPr>
            <w:tcW w:type="dxa" w:w="64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 training-time supply-chain attack where the model behaves normally on benign inputs but switches predictions to an adversary-chosen target class y_t whenever a specific trigger pattern is present.</w:t>
            </w:r>
          </w:p>
        </w:tc>
      </w:tr>
      <w:tr>
        <w:trPr>
          <w:cantSplit/>
        </w:trPr>
        <w:tc>
          <w:tcPr>
            <w:tcW w:type="dxa" w:w="28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Trigger-Consistency Rate (R_flip)</w:t>
            </w:r>
          </w:p>
        </w:tc>
        <w:tc>
          <w:tcPr>
            <w:tcW w:type="dxa" w:w="64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The fraction of clean test images across multiple spatial anchor positions whose predicted class flips to a dominant target class when a candidate trigger is applied.</w:t>
            </w:r>
          </w:p>
        </w:tc>
      </w:tr>
      <w:tr>
        <w:trPr>
          <w:cantSplit/>
        </w:trPr>
        <w:tc>
          <w:tcPr>
            <w:tcW w:type="dxa" w:w="28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MAD Anomaly Index (I_MAD)</w:t>
            </w:r>
          </w:p>
        </w:tc>
        <w:tc>
          <w:tcPr>
            <w:tcW w:type="dxa" w:w="64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Robust outlier metric grounded in Median Absolute Deviation (scaled by 1.4826 for normal consistency) measuring abnormal confidence shifts toward a target class.</w:t>
            </w:r>
          </w:p>
        </w:tc>
      </w:tr>
      <w:tr>
        <w:trPr>
          <w:cantSplit/>
        </w:trPr>
        <w:tc>
          <w:tcPr>
            <w:tcW w:type="dxa" w:w="28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Activation Clustering</w:t>
            </w:r>
          </w:p>
        </w:tc>
        <w:tc>
          <w:tcPr>
            <w:tcW w:type="dxa" w:w="64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White-box defense (Chen et al., 2019) that projects penultimate neural layer representations onto principal components to detect bimodal separation between clean and triggered activations.</w:t>
            </w:r>
          </w:p>
        </w:tc>
      </w:tr>
      <w:tr>
        <w:trPr>
          <w:cantSplit/>
        </w:trPr>
        <w:tc>
          <w:tcPr>
            <w:tcW w:type="dxa" w:w="28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Cryptographic Inference Binding</w:t>
            </w:r>
          </w:p>
        </w:tc>
        <w:tc>
          <w:tcPr>
            <w:tcW w:type="dxa" w:w="6480"/>
            <w:vAlign w:val="center"/>
            <w:shd w:fill="FFFFFF"/>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Sealing the tuple (Dataset Merkle Root, Model SHA-256, Input SHA-256, Config SHA-256, Output Logits, Timestamp) with an asymmetric digital signature (Ed25519/ECDSA) to prove prediction provenance.</w:t>
            </w:r>
          </w:p>
        </w:tc>
      </w:tr>
      <w:tr>
        <w:trPr>
          <w:cantSplit/>
        </w:trPr>
        <w:tc>
          <w:tcPr>
            <w:tcW w:type="dxa" w:w="28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color w:val="2B2118"/>
                <w:sz w:val="20"/>
              </w:rPr>
              <w:t>Cascade Invalidation</w:t>
            </w:r>
          </w:p>
        </w:tc>
        <w:tc>
          <w:tcPr>
            <w:tcW w:type="dxa" w:w="6480"/>
            <w:vAlign w:val="center"/>
            <w:shd w:fill="F3E9D2"/>
            <w:tcMar>
              <w:top w:w="80" w:type="dxa"/>
              <w:bottom w:w="80" w:type="dxa"/>
              <w:left w:w="120" w:type="dxa"/>
              <w:right w:w="120" w:type="dxa"/>
            </w:tcMar>
            <w:tcBorders>
              <w:top w:val="single" w:sz="4" w:space="0" w:color="DCD8CC"/>
              <w:bottom w:val="single" w:sz="4" w:space="0" w:color="DCD8CC"/>
              <w:left w:val="single" w:sz="4" w:space="0" w:color="DCD8CC"/>
              <w:right w:val="single" w:sz="4" w:space="0" w:color="DCD8CC"/>
            </w:tcBorders>
          </w:tcPr>
          <w:p>
            <w:pPr>
              <w:spacing w:before="40" w:after="40" w:line="264" w:lineRule="auto"/>
            </w:pPr>
            <w:r>
              <w:rPr>
                <w:rFonts w:ascii="Calibri" w:hAnsi="Calibri"/>
                <w:b w:val="0"/>
                <w:color w:val="2B2118"/>
                <w:sz w:val="20"/>
              </w:rPr>
              <w:t>Automated reactive propagation wherein a hash mismatch on an upstream dataset or model node immediately transitions all dependent downstream inference certificates to MISMATCH.</w:t>
            </w:r>
          </w:p>
        </w:tc>
      </w:tr>
    </w:tbl>
    <w:p>
      <w:pPr>
        <w:spacing w:before="0" w:after="80"/>
      </w:pPr>
    </w:p>
    <w:p>
      <w:pPr>
        <w:keepNext/>
        <w:spacing w:before="320" w:after="120"/>
        <w:pBdr>
          <w:bottom w:val="single" w:sz="6" w:space="3" w:color="C9A227"/>
        </w:pBdr>
      </w:pPr>
      <w:r>
        <w:rPr>
          <w:rFonts w:ascii="Calibri" w:hAnsi="Calibri"/>
          <w:b/>
          <w:color w:val="5C1A2B"/>
          <w:sz w:val="32"/>
        </w:rPr>
        <w:t>19. References &amp; Attribution Declaration</w:t>
      </w:r>
    </w:p>
    <w:p>
      <w:pPr>
        <w:spacing w:before="20" w:after="80" w:line="269" w:lineRule="auto"/>
        <w:ind w:left="360" w:hanging="360"/>
      </w:pPr>
      <w:r>
        <w:rPr>
          <w:rFonts w:ascii="Calibri" w:hAnsi="Calibri"/>
          <w:color w:val="2B2118"/>
          <w:sz w:val="20"/>
        </w:rPr>
        <w:t>1. B. Wang, Y. Yao, S. Shan, H. Li, B. Viswanath, H. Zheng, and B. Y. Zhao, 'Neural Cleanse: Identifying and Mitigating Backdoor Attacks in Neural Networks,' in Proc. IEEE Symposium on Security and Privacy (S&amp;P), 2019, pp. 707–723. (DOI: 10.1109/SP.2019.00031)</w:t>
      </w:r>
    </w:p>
    <w:p>
      <w:pPr>
        <w:spacing w:before="20" w:after="80" w:line="269" w:lineRule="auto"/>
        <w:ind w:left="360" w:hanging="360"/>
      </w:pPr>
      <w:r>
        <w:rPr>
          <w:rFonts w:ascii="Calibri" w:hAnsi="Calibri"/>
          <w:color w:val="2B2118"/>
          <w:sz w:val="20"/>
        </w:rPr>
        <w:t>2. Y. Gao, C. Xu, D. Wang, S. Chen, D. C. Ranasinghe, and S. Nepal, 'STRIP: A Defence Against Trojan Attacks on Deep Neural Networks,' in Proc. 35th Annual Computer Security Applications Conference (ACSAC), 2019, pp. 113–125. (arXiv:1902.06531)</w:t>
      </w:r>
    </w:p>
    <w:p>
      <w:pPr>
        <w:spacing w:before="20" w:after="80" w:line="269" w:lineRule="auto"/>
        <w:ind w:left="360" w:hanging="360"/>
      </w:pPr>
      <w:r>
        <w:rPr>
          <w:rFonts w:ascii="Calibri" w:hAnsi="Calibri"/>
          <w:color w:val="2B2118"/>
          <w:sz w:val="20"/>
        </w:rPr>
        <w:t>3. B. Tran, J. Li, and A. Madry, 'Spectral Signatures in Backdoor Attacks,' in Advances in Neural Information Processing Systems (NeurIPS), vol. 31, 2018. (arXiv:1811.00636)</w:t>
      </w:r>
    </w:p>
    <w:p>
      <w:pPr>
        <w:spacing w:before="20" w:after="80" w:line="269" w:lineRule="auto"/>
        <w:ind w:left="360" w:hanging="360"/>
      </w:pPr>
      <w:r>
        <w:rPr>
          <w:rFonts w:ascii="Calibri" w:hAnsi="Calibri"/>
          <w:color w:val="2B2118"/>
          <w:sz w:val="20"/>
        </w:rPr>
        <w:t>4. B. Chen, W. Carvalho, N. Baracaldo, H. Ludwig, B. Edwards, T. Lee, I. Molloy, and B. Srivastava, 'Detecting Backdoor Attacks on Deep Neural Networks by Activation Clustering,' in AAAI Workshop on Artificial Intelligence Safety (SafeAI), 2019. (arXiv:1811.03728)</w:t>
      </w:r>
    </w:p>
    <w:p>
      <w:pPr>
        <w:spacing w:before="20" w:after="80" w:line="269" w:lineRule="auto"/>
        <w:ind w:left="360" w:hanging="360"/>
      </w:pPr>
      <w:r>
        <w:rPr>
          <w:rFonts w:ascii="Calibri" w:hAnsi="Calibri"/>
          <w:color w:val="2B2118"/>
          <w:sz w:val="20"/>
        </w:rPr>
        <w:t>5. T. Gu, B. Dolan-Gavitt, and S. Garg, 'BadNets: Identifying Vulnerabilities in the Machine Learning Model Supply Chain,' IEEE Access, vol. 7, pp. 47230–47244, 2019. (arXiv:1708.06733)</w:t>
      </w:r>
    </w:p>
    <w:p>
      <w:pPr>
        <w:spacing w:before="20" w:after="80" w:line="269" w:lineRule="auto"/>
        <w:ind w:left="360" w:hanging="360"/>
      </w:pPr>
      <w:r>
        <w:rPr>
          <w:rFonts w:ascii="Calibri" w:hAnsi="Calibri"/>
          <w:color w:val="2B2118"/>
          <w:sz w:val="20"/>
        </w:rPr>
        <w:t>6. S. Torres-Arias, H. Afzali, T. K. Kuppusamy, R. Curtmola, and J. Cappos, 'in-toto: Providing farm-to-table guarantees for bits and bytes,' in Proc. 28th USENIX Security Symposium (USENIX Security 19), 2019, pp. 1393–1410.</w:t>
      </w:r>
    </w:p>
    <w:p>
      <w:pPr>
        <w:spacing w:before="20" w:after="80" w:line="269" w:lineRule="auto"/>
        <w:ind w:left="360" w:hanging="360"/>
      </w:pPr>
      <w:r>
        <w:rPr>
          <w:rFonts w:ascii="Calibri" w:hAnsi="Calibri"/>
          <w:color w:val="2B2118"/>
          <w:sz w:val="20"/>
        </w:rPr>
        <w:t>7. F. T. Liu, K. M. Ting, and Z.-H. Zhou, 'Isolation Forest,' in Proc. 8th IEEE International Conference on Data Mining (ICDM), 2008, pp. 413–422. (DOI: 10.1109/ICDM.2008.17)</w:t>
      </w:r>
    </w:p>
    <w:p>
      <w:pPr>
        <w:spacing w:before="20" w:after="80" w:line="269" w:lineRule="auto"/>
        <w:ind w:left="360" w:hanging="360"/>
      </w:pPr>
      <w:r>
        <w:rPr>
          <w:rFonts w:ascii="Calibri" w:hAnsi="Calibri"/>
          <w:color w:val="2B2118"/>
          <w:sz w:val="20"/>
        </w:rPr>
        <w:t>8. K. Lee, K. Lee, H. Lee, and J. Shin, 'A Simple Unified Framework for Detecting Out-of-Distribution Samples and Adversarial Attacks,' in Advances in Neural Information Processing Systems (NeurIPS), 2018.</w:t>
      </w:r>
    </w:p>
    <w:p>
      <w:pPr>
        <w:spacing w:before="20" w:after="80" w:line="269" w:lineRule="auto"/>
        <w:ind w:left="360" w:hanging="360"/>
      </w:pPr>
      <w:r>
        <w:rPr>
          <w:rFonts w:ascii="Calibri" w:hAnsi="Calibri"/>
          <w:color w:val="2B2118"/>
          <w:sz w:val="20"/>
        </w:rPr>
        <w:t>9. B. Wu, H. Chen, M. Zhang, Z. Zhu, S. Wei, D. Yuan, and C. Shen, 'BackdoorBench: A Comprehensive Benchmark of Backdoor Learning,' in Advances in Neural Information Processing Systems (NeurIPS Datasets and Benchmarks Track), 2022.</w:t>
      </w:r>
    </w:p>
    <w:p>
      <w:pPr>
        <w:spacing w:before="20" w:after="80" w:line="269" w:lineRule="auto"/>
        <w:ind w:left="360" w:hanging="360"/>
      </w:pPr>
      <w:r>
        <w:rPr>
          <w:rFonts w:ascii="Calibri" w:hAnsi="Calibri"/>
          <w:color w:val="2B2118"/>
          <w:sz w:val="20"/>
        </w:rPr>
        <w:t>10. C. Zauner, 'Implementation and Benchmarking of Perceptual Image Hash Functions,' Master's Thesis, Upper Austria University of Applied Sciences, Hagenberg, 2010.</w:t>
      </w:r>
    </w:p>
    <w:p>
      <w:pPr>
        <w:spacing w:before="20" w:after="80" w:line="269" w:lineRule="auto"/>
        <w:ind w:left="360" w:hanging="360"/>
      </w:pPr>
      <w:r>
        <w:rPr>
          <w:rFonts w:ascii="Calibri" w:hAnsi="Calibri"/>
          <w:color w:val="2B2118"/>
          <w:sz w:val="20"/>
        </w:rPr>
        <w:t>11. Smart India Hackathon Problem Statement SIH26228, 'From Data to Decision, Proving AI Integrity — End-to-End Cryptographic &amp; Behavioral Assurance for Computer Vision Supply Chains,' Ministry of Education / AICTE, 2026.</w:t>
      </w:r>
    </w:p>
    <w:tbl>
      <w:tblPr>
        <w:tblW w:type="auto" w:w="0"/>
        <w:jc w:val="center"/>
        <w:tblLook w:firstColumn="1" w:firstRow="1" w:lastColumn="0" w:lastRow="0" w:noHBand="0" w:noVBand="1" w:val="04A0"/>
      </w:tblPr>
      <w:tblGrid>
        <w:gridCol w:w="9360"/>
      </w:tblGrid>
      <w:tr>
        <w:trPr>
          <w:cantSplit/>
        </w:trPr>
        <w:tc>
          <w:tcPr>
            <w:tcW w:type="dxa" w:w="9360"/>
            <w:shd w:fill="5C1A2B"/>
            <w:tcMar>
              <w:top w:w="160" w:type="dxa"/>
              <w:bottom w:w="160" w:type="dxa"/>
              <w:left w:w="220" w:type="dxa"/>
              <w:right w:w="220" w:type="dxa"/>
            </w:tcMar>
            <w:tcBorders>
              <w:top w:val="single" w:sz="12" w:space="0" w:color="C9A227"/>
              <w:bottom w:val="single" w:sz="12" w:space="0" w:color="C9A227"/>
              <w:left w:val="single" w:sz="12" w:space="0" w:color="C9A227"/>
              <w:right w:val="single" w:sz="12" w:space="0" w:color="C9A227"/>
            </w:tcBorders>
          </w:tcPr>
          <w:p>
            <w:pPr>
              <w:spacing w:before="40" w:after="120"/>
            </w:pPr>
            <w:r>
              <w:rPr>
                <w:rFonts w:ascii="Calibri" w:hAnsi="Calibri"/>
                <w:b/>
                <w:color w:val="C9A227"/>
                <w:sz w:val="25"/>
              </w:rPr>
              <w:t>★ Attribution, Audit Integrity &amp; Originality Declaration ★</w:t>
            </w:r>
          </w:p>
          <w:p>
            <w:pPr>
              <w:spacing w:before="40" w:after="80" w:line="276" w:lineRule="auto"/>
            </w:pPr>
            <w:r>
              <w:rPr>
                <w:rFonts w:ascii="Calibri" w:hAnsi="Calibri"/>
                <w:color w:val="FFFFFF"/>
                <w:sz w:val="21"/>
              </w:rPr>
              <w:t>This Master Research &amp; Engineering Blueprint — including the 14-point forensic codebase audit of Visentra.zip, the identification of the cryptographic-behavioral supply-chain gap, the Two-Stage Budgeted Trojan Gating formulation, the VisentraBench-180 evaluation protocol, and the code-level remediation architecture — is an original technical synthesis prepared for SIH26228 / AIML Capstone execution.</w:t>
            </w:r>
          </w:p>
          <w:p>
            <w:pPr>
              <w:spacing w:before="40" w:after="40" w:line="276" w:lineRule="auto"/>
            </w:pPr>
            <w:r>
              <w:rPr>
                <w:rFonts w:ascii="Calibri" w:hAnsi="Calibri"/>
                <w:color w:val="FFFFFF"/>
                <w:sz w:val="21"/>
              </w:rPr>
              <w:t>All cited foundational works (IEEE S&amp;P, USENIX Security, NeurIPS, ACSAC, and ICDM) remain the intellectual property of their respective authors and institutions. Structural formatting and scientific blueprint conventions are aligned with the GateOrchestra Master Research Blueprint reference standard.</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1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