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8" w:name="content"/>
    <w:bookmarkStart w:id="27" w:name="X69e01028a3579f8970f88833ea04337e7f601e2"/>
    <w:p>
      <w:pPr>
        <w:pStyle w:val="Heading1"/>
      </w:pPr>
      <w:r>
        <w:t xml:space="preserve">AI Services Portfolio and Case Study Catalog</w:t>
      </w:r>
    </w:p>
    <w:bookmarkStart w:id="21" w:name="executive-summary"/>
    <w:p>
      <w:pPr>
        <w:pStyle w:val="Heading2"/>
      </w:pPr>
      <w:r>
        <w:t xml:space="preserve">Executive Summary</w:t>
      </w:r>
    </w:p>
    <w:p>
      <w:pPr>
        <w:pStyle w:val="FirstParagraph"/>
      </w:pPr>
      <w:r>
        <w:t xml:space="preserve">The uploaded document set describes a broad AI portfolio centered on healthcare, multilingual conversational systems, document intelligence, AI-first retail operations, real-estate decision support, education technology, and analytics automation. The most mature cluster is healthcare: LABAID GPT, Medical LUNA, MedCore, and the earlier Medical AI Assistant all combine some mix of multimodal inputs, clinical reasoning, OCR, knowledge support, and enterprise-system integration. Retail and banking materials show a parallel pattern: conversational or document-centric AI is treated as valuable only when wrapped in guardrails, workflow controls, and operational integrations rather than exposed as a free-form chatbot. fileciteturn0file0 fileciteturn0file1 fileciteturn0file2 fileciteturn0file3 fileciteturn0file5 fileciteturn0file11</w:t>
      </w:r>
    </w:p>
    <w:p>
      <w:pPr>
        <w:pStyle w:val="BodyText"/>
      </w:pPr>
      <w:r>
        <w:t xml:space="preserve">Across the corpus, the strongest quantified outcomes come from workflow compression and decision-support acceleration: the medical image workflow reports a 35% radiologist workload reduction and a reduction in turnaround from three weeks to 24 hours; the diagnostic-centre platform targets a 60% reduction in scheduling workload with booking completion in under three minutes; PrimeOCR targets 70–80% faster banking document processing; 1-Tap targets at least 85% interaction accuracy with sub-three-second response time; and the Jotax analytics project reports an 80% reduction in reporting time. Several other benefits are explicitly positioned as projected, pilot-stage, or roadmap-level and should be read that way. fileciteturn0file0 fileciteturn0file1 fileciteturn0file5 fileciteturn0file11</w:t>
      </w:r>
    </w:p>
    <w:p>
      <w:pPr>
        <w:pStyle w:val="BodyText"/>
      </w:pPr>
      <w:r>
        <w:t xml:space="preserve">A consistent architectural thesis emerges from the documents: multimodal AI is useful, but production readiness depends on confidence thresholds, human review, role-based access, phased integration, legacy-system fallbacks, and local-language adaptation. That pattern appears in clinical decision support, banking OCR, retail voice AI, and even the cancer chatbot development guide, which emphasizes escalation logic, content approval, staged deployment, and continuous validation. fileciteturn0file2 fileciteturn0file3 fileciteturn0file5 fileciteturn0file11</w:t>
      </w:r>
    </w:p>
    <w:bookmarkEnd w:id="21"/>
    <w:bookmarkStart w:id="22" w:name="table-of-contents"/>
    <w:p>
      <w:pPr>
        <w:pStyle w:val="Heading2"/>
      </w:pPr>
      <w:r>
        <w:t xml:space="preserve">Table of Contents</w:t>
      </w:r>
    </w:p>
    <w:p>
      <w:pPr>
        <w:pStyle w:val="Compact"/>
        <w:numPr>
          <w:ilvl w:val="0"/>
          <w:numId w:val="1001"/>
        </w:numPr>
      </w:pPr>
      <w:r>
        <w:t xml:space="preserve">Portfolio landscape</w:t>
      </w:r>
    </w:p>
    <w:p>
      <w:pPr>
        <w:pStyle w:val="Compact"/>
        <w:numPr>
          <w:ilvl w:val="0"/>
          <w:numId w:val="1001"/>
        </w:numPr>
      </w:pPr>
      <w:r>
        <w:t xml:space="preserve">Case studies</w:t>
      </w:r>
    </w:p>
    <w:p>
      <w:pPr>
        <w:pStyle w:val="Compact"/>
        <w:numPr>
          <w:ilvl w:val="0"/>
          <w:numId w:val="1001"/>
        </w:numPr>
      </w:pPr>
      <w:r>
        <w:t xml:space="preserve">Comparative analysis</w:t>
      </w:r>
    </w:p>
    <w:p>
      <w:pPr>
        <w:pStyle w:val="Compact"/>
        <w:numPr>
          <w:ilvl w:val="0"/>
          <w:numId w:val="1001"/>
        </w:numPr>
      </w:pPr>
      <w:r>
        <w:t xml:space="preserve">Appendix</w:t>
      </w:r>
    </w:p>
    <w:bookmarkEnd w:id="22"/>
    <w:bookmarkStart w:id="23" w:name="portfolio-landscape"/>
    <w:p>
      <w:pPr>
        <w:pStyle w:val="Heading2"/>
      </w:pPr>
      <w:r>
        <w:t xml:space="preserve">Portfolio Landscape</w:t>
      </w:r>
    </w:p>
    <w:p>
      <w:pPr>
        <w:pStyle w:val="FirstParagraph"/>
      </w:pPr>
      <w:r>
        <w:t xml:space="preserve">This report normalizes several overlapping names across the corpus. In particular, the portfolio-level “Medical AI Assistant” and the later “Healthcare AI Assistant” case-study language appear to describe the same foundational capability family that is then operationalized more concretely in LABAID GPT and related healthcare offerings. Likewise, the “Multi-Modal, Multi-Lingual Omni Business Vertical AI Voice Assistant” functions as a reference implementation for the broader LUNA product family. Where the documents provide explicit maturity labels such as</w:t>
      </w:r>
      <w:r>
        <w:t xml:space="preserve"> </w:t>
      </w:r>
      <w:r>
        <w:rPr>
          <w:i/>
          <w:iCs/>
        </w:rPr>
        <w:t xml:space="preserve">live</w:t>
      </w:r>
      <w:r>
        <w:t xml:space="preserve">,</w:t>
      </w:r>
      <w:r>
        <w:t xml:space="preserve"> </w:t>
      </w:r>
      <w:r>
        <w:rPr>
          <w:i/>
          <w:iCs/>
        </w:rPr>
        <w:t xml:space="preserve">advanced MVP</w:t>
      </w:r>
      <w:r>
        <w:t xml:space="preserve">,</w:t>
      </w:r>
      <w:r>
        <w:t xml:space="preserve"> </w:t>
      </w:r>
      <w:r>
        <w:rPr>
          <w:i/>
          <w:iCs/>
        </w:rPr>
        <w:t xml:space="preserve">proposal</w:t>
      </w:r>
      <w:r>
        <w:t xml:space="preserve">,</w:t>
      </w:r>
      <w:r>
        <w:t xml:space="preserve"> </w:t>
      </w:r>
      <w:r>
        <w:rPr>
          <w:i/>
          <w:iCs/>
        </w:rPr>
        <w:t xml:space="preserve">planned</w:t>
      </w:r>
      <w:r>
        <w:t xml:space="preserve">, or</w:t>
      </w:r>
      <w:r>
        <w:t xml:space="preserve"> </w:t>
      </w:r>
      <w:r>
        <w:rPr>
          <w:i/>
          <w:iCs/>
        </w:rPr>
        <w:t xml:space="preserve">roadmap</w:t>
      </w:r>
      <w:r>
        <w:t xml:space="preserve">, those labels are preserved; where a benefit is only projected or target-state, it is labeled as such rather than treated as proven delivery. fileciteturn0file0 fileciteturn0file1 fileciteturn0file11</w:t>
      </w:r>
    </w:p>
    <w:p>
      <w:pPr>
        <w:pStyle w:val="BodyText"/>
      </w:pPr>
      <w:r>
        <w:t xml:space="preserve">The service inventory groups cleanly into six domains. Healthcare includes LABAID GPT, Medical LUNA, the Medical AI Assistant capabilities, MedCore, and the cancer-specific chatbot blueprint, all spanning patient engagement, second opinion, prescription safety, triage, and diagnostic support. Banking and financial services center on PrimeOCR, the Banking Virtual Financial Assistant, and LUNA’s banking module, with a strong emphasis on document processing, authentication, and fraud-aware customer service. E-commerce and retail include the conversational commerce engine, 1-Tap, HelloKhata, and LUNA’s e-commerce deployment, covering conversational commerce, order support, stock intelligence, and AI-assisted operations. Real estate is represented by Project Eugenia and its predictive maintenance, energy, and tenant-satisfaction models. Education and training are represented by the medical LMS, AI mentor, and surgical simulation stack. Cross-vertical enablers include LUNA’s multi-domain shell, MLOps infrastructure, and the Jotax analytics work. fileciteturn0file1 fileciteturn0file2 fileciteturn0file3 fileciteturn0file11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Domain or Industry</w:t>
            </w:r>
          </w:p>
        </w:tc>
        <w:tc>
          <w:tcPr/>
          <w:p>
            <w:pPr>
              <w:pStyle w:val="Compact"/>
            </w:pPr>
            <w:r>
              <w:t xml:space="preserve">Representative services</w:t>
            </w:r>
          </w:p>
        </w:tc>
        <w:tc>
          <w:tcPr/>
          <w:p>
            <w:pPr>
              <w:pStyle w:val="Compact"/>
            </w:pPr>
            <w:r>
              <w:t xml:space="preserve">Main technology paradigms</w:t>
            </w:r>
          </w:p>
        </w:tc>
        <w:tc>
          <w:tcPr/>
          <w:p>
            <w:pPr>
              <w:pStyle w:val="Compact"/>
            </w:pPr>
            <w:r>
              <w:t xml:space="preserve">Main business verticals</w:t>
            </w:r>
          </w:p>
        </w:tc>
      </w:tr>
      <w:tr>
        <w:tc>
          <w:tcPr/>
          <w:p>
            <w:pPr>
              <w:pStyle w:val="Compact"/>
            </w:pPr>
            <w:r>
              <w:t xml:space="preserve">Healthcare</w:t>
            </w:r>
          </w:p>
        </w:tc>
        <w:tc>
          <w:tcPr/>
          <w:p>
            <w:pPr>
              <w:pStyle w:val="Compact"/>
            </w:pPr>
            <w:r>
              <w:t xml:space="preserve">LABAID GPT, Medical LUNA, MedCore, Medical AI Assistant, cancer chatbot blueprint</w:t>
            </w:r>
          </w:p>
        </w:tc>
        <w:tc>
          <w:tcPr/>
          <w:p>
            <w:pPr>
              <w:pStyle w:val="Compact"/>
            </w:pPr>
            <w:r>
              <w:t xml:space="preserve">NLP, computer vision, OCR, STT/TTS, predictive analytics, knowledge-base retrieval</w:t>
            </w:r>
          </w:p>
        </w:tc>
        <w:tc>
          <w:tcPr/>
          <w:p>
            <w:pPr>
              <w:pStyle w:val="Compact"/>
            </w:pPr>
            <w:r>
              <w:t xml:space="preserve">Patient engagement, clinical decision support, pre-screening, prescription safety, diagnostic support, training</w:t>
            </w:r>
          </w:p>
        </w:tc>
      </w:tr>
      <w:tr>
        <w:tc>
          <w:tcPr/>
          <w:p>
            <w:pPr>
              <w:pStyle w:val="Compact"/>
            </w:pPr>
            <w:r>
              <w:t xml:space="preserve">Banking and financial services</w:t>
            </w:r>
          </w:p>
        </w:tc>
        <w:tc>
          <w:tcPr/>
          <w:p>
            <w:pPr>
              <w:pStyle w:val="Compact"/>
            </w:pPr>
            <w:r>
              <w:t xml:space="preserve">PrimeOCR, Banking Virtual Financial Assistant, LUNA banking</w:t>
            </w:r>
          </w:p>
        </w:tc>
        <w:tc>
          <w:tcPr/>
          <w:p>
            <w:pPr>
              <w:pStyle w:val="Compact"/>
            </w:pPr>
            <w:r>
              <w:t xml:space="preserve">OCR/ICR, NLP, STT/TTS, fraud analytics, workflow automation</w:t>
            </w:r>
          </w:p>
        </w:tc>
        <w:tc>
          <w:tcPr/>
          <w:p>
            <w:pPr>
              <w:pStyle w:val="Compact"/>
            </w:pPr>
            <w:r>
              <w:t xml:space="preserve">Document processing, customer service, authentication, fraud prevention, cash-flow guidance</w:t>
            </w:r>
          </w:p>
        </w:tc>
      </w:tr>
      <w:tr>
        <w:tc>
          <w:tcPr/>
          <w:p>
            <w:pPr>
              <w:pStyle w:val="Compact"/>
            </w:pPr>
            <w:r>
              <w:t xml:space="preserve">E-commerce and retail</w:t>
            </w:r>
          </w:p>
        </w:tc>
        <w:tc>
          <w:tcPr/>
          <w:p>
            <w:pPr>
              <w:pStyle w:val="Compact"/>
            </w:pPr>
            <w:r>
              <w:t xml:space="preserve">Conversational commerce engine, 1-Tap, HelloKhata, LUNA e-commerce</w:t>
            </w:r>
          </w:p>
        </w:tc>
        <w:tc>
          <w:tcPr/>
          <w:p>
            <w:pPr>
              <w:pStyle w:val="Compact"/>
            </w:pPr>
            <w:r>
              <w:t xml:space="preserve">NLP, recommendation, voice AI, deterministic tool calling, offline sync</w:t>
            </w:r>
          </w:p>
        </w:tc>
        <w:tc>
          <w:tcPr/>
          <w:p>
            <w:pPr>
              <w:pStyle w:val="Compact"/>
            </w:pPr>
            <w:r>
              <w:t xml:space="preserve">Customer service, product discovery, order status, POS assistance, inventory intelligence</w:t>
            </w:r>
          </w:p>
        </w:tc>
      </w:tr>
      <w:tr>
        <w:tc>
          <w:tcPr/>
          <w:p>
            <w:pPr>
              <w:pStyle w:val="Compact"/>
            </w:pPr>
            <w:r>
              <w:t xml:space="preserve">Real estate and property</w:t>
            </w:r>
          </w:p>
        </w:tc>
        <w:tc>
          <w:tcPr/>
          <w:p>
            <w:pPr>
              <w:pStyle w:val="Compact"/>
            </w:pPr>
            <w:r>
              <w:t xml:space="preserve">Project Eugenia and related model families</w:t>
            </w:r>
          </w:p>
        </w:tc>
        <w:tc>
          <w:tcPr/>
          <w:p>
            <w:pPr>
              <w:pStyle w:val="Compact"/>
            </w:pPr>
            <w:r>
              <w:t xml:space="preserve">Predictive analytics, anomaly detection, sentiment analysis, optimization</w:t>
            </w:r>
          </w:p>
        </w:tc>
        <w:tc>
          <w:tcPr/>
          <w:p>
            <w:pPr>
              <w:pStyle w:val="Compact"/>
            </w:pPr>
            <w:r>
              <w:t xml:space="preserve">Energy management, predictive maintenance, tenant satisfaction, pricing and vacancy optimization</w:t>
            </w:r>
          </w:p>
        </w:tc>
      </w:tr>
      <w:tr>
        <w:tc>
          <w:tcPr/>
          <w:p>
            <w:pPr>
              <w:pStyle w:val="Compact"/>
            </w:pPr>
            <w:r>
              <w:t xml:space="preserve">Education and training</w:t>
            </w:r>
          </w:p>
        </w:tc>
        <w:tc>
          <w:tcPr/>
          <w:p>
            <w:pPr>
              <w:pStyle w:val="Compact"/>
            </w:pPr>
            <w:r>
              <w:t xml:space="preserve">Medical LMS, AI mentor, surgical simulation</w:t>
            </w:r>
          </w:p>
        </w:tc>
        <w:tc>
          <w:tcPr/>
          <w:p>
            <w:pPr>
              <w:pStyle w:val="Compact"/>
            </w:pPr>
            <w:r>
              <w:t xml:space="preserve">AR/VR, computer vision, NLP, predictive analytics</w:t>
            </w:r>
          </w:p>
        </w:tc>
        <w:tc>
          <w:tcPr/>
          <w:p>
            <w:pPr>
              <w:pStyle w:val="Compact"/>
            </w:pPr>
            <w:r>
              <w:t xml:space="preserve">Anatomy learning, simulation-based training, evaluator support, learner intervention</w:t>
            </w:r>
          </w:p>
        </w:tc>
      </w:tr>
      <w:tr>
        <w:tc>
          <w:tcPr/>
          <w:p>
            <w:pPr>
              <w:pStyle w:val="Compact"/>
            </w:pPr>
            <w:r>
              <w:t xml:space="preserve">Cross-vertical enablement</w:t>
            </w:r>
          </w:p>
        </w:tc>
        <w:tc>
          <w:tcPr/>
          <w:p>
            <w:pPr>
              <w:pStyle w:val="Compact"/>
            </w:pPr>
            <w:r>
              <w:t xml:space="preserve">LUNA shell, MLOps layer, Jotax analytics</w:t>
            </w:r>
          </w:p>
        </w:tc>
        <w:tc>
          <w:tcPr/>
          <w:p>
            <w:pPr>
              <w:pStyle w:val="Compact"/>
            </w:pPr>
            <w:r>
              <w:t xml:space="preserve">MLOps, BI automation, dashboards, multilingual orchestration</w:t>
            </w:r>
          </w:p>
        </w:tc>
        <w:tc>
          <w:tcPr/>
          <w:p>
            <w:pPr>
              <w:pStyle w:val="Compact"/>
            </w:pPr>
            <w:r>
              <w:t xml:space="preserve">Admin control planes, reporting, integration, reusable agent frameworks</w:t>
            </w:r>
          </w:p>
        </w:tc>
      </w:tr>
    </w:tbl>
    <w:p>
      <w:pPr>
        <w:pStyle w:val="BodyText"/>
      </w:pPr>
      <w:r>
        <w:t xml:space="preserve">The consolidated service table below collapses closely related sub-services into portfolio-level offerings while still preserving the requested dimensions of description, technologies, maturity, target users, and benefits. Additional explicitly named but less-developed services—such as the AI-powered virtual psychologist/consultant and the shared MLOps infrastructure layer—are carried into the comparative analysis and appendix rather than inflated into standalone case rows. fileciteturn0file1 fileciteturn0file11</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Service Name</w:t>
            </w:r>
          </w:p>
        </w:tc>
        <w:tc>
          <w:tcPr/>
          <w:p>
            <w:pPr>
              <w:pStyle w:val="Compact"/>
            </w:pPr>
            <w:r>
              <w:t xml:space="preserve">Description</w:t>
            </w:r>
          </w:p>
        </w:tc>
        <w:tc>
          <w:tcPr/>
          <w:p>
            <w:pPr>
              <w:pStyle w:val="Compact"/>
            </w:pPr>
            <w:r>
              <w:t xml:space="preserve">Key Technologies</w:t>
            </w:r>
          </w:p>
        </w:tc>
        <w:tc>
          <w:tcPr/>
          <w:p>
            <w:pPr>
              <w:pStyle w:val="Compact"/>
            </w:pPr>
            <w:r>
              <w:t xml:space="preserve">Maturity</w:t>
            </w:r>
          </w:p>
        </w:tc>
        <w:tc>
          <w:tcPr/>
          <w:p>
            <w:pPr>
              <w:pStyle w:val="Compact"/>
            </w:pPr>
            <w:r>
              <w:t xml:space="preserve">Target Users</w:t>
            </w:r>
          </w:p>
        </w:tc>
        <w:tc>
          <w:tcPr/>
          <w:p>
            <w:pPr>
              <w:pStyle w:val="Compact"/>
            </w:pPr>
            <w:r>
              <w:t xml:space="preserve">Quantified Benefits</w:t>
            </w:r>
          </w:p>
        </w:tc>
      </w:tr>
      <w:tr>
        <w:tc>
          <w:tcPr/>
          <w:p>
            <w:pPr>
              <w:pStyle w:val="Compact"/>
            </w:pPr>
            <w:r>
              <w:t xml:space="preserve">LABAID GPT</w:t>
            </w:r>
          </w:p>
        </w:tc>
        <w:tc>
          <w:tcPr/>
          <w:p>
            <w:pPr>
              <w:pStyle w:val="Compact"/>
            </w:pPr>
            <w:r>
              <w:t xml:space="preserve">Multimodal second-opinion and screening platform for cancer, cardiac, radiology, pathology, symptoms, reports, and prescriptions.</w:t>
            </w:r>
          </w:p>
        </w:tc>
        <w:tc>
          <w:tcPr/>
          <w:p>
            <w:pPr>
              <w:pStyle w:val="Compact"/>
            </w:pPr>
            <w:r>
              <w:t xml:space="preserve">GPT-4V, Groq/Llama 3, OCR, STT/TTS, PEFT/LoRA fine-tuning, React/Next.js, Node.js, PostgreSQL, FHIR-style integrations</w:t>
            </w:r>
          </w:p>
        </w:tc>
        <w:tc>
          <w:tcPr/>
          <w:p>
            <w:pPr>
              <w:pStyle w:val="Compact"/>
            </w:pPr>
            <w:r>
              <w:t xml:space="preserve">Advanced MVP / in deployment</w:t>
            </w:r>
          </w:p>
        </w:tc>
        <w:tc>
          <w:tcPr/>
          <w:p>
            <w:pPr>
              <w:pStyle w:val="Compact"/>
            </w:pPr>
            <w:r>
              <w:t xml:space="preserve">Physicians, patients, hospital groups, telemedicine providers</w:t>
            </w:r>
          </w:p>
        </w:tc>
        <w:tc>
          <w:tcPr/>
          <w:p>
            <w:pPr>
              <w:pStyle w:val="Compact"/>
            </w:pPr>
            <w:r>
              <w:t xml:space="preserve">35% radiologist workload reduction; wait time reduced from 3 weeks to 24 hours; 40% increase in early-stage detection in the associated case-study framing. fileciteturn0file1 fileciteturn0file11</w:t>
            </w:r>
          </w:p>
        </w:tc>
      </w:tr>
      <w:tr>
        <w:tc>
          <w:tcPr/>
          <w:p>
            <w:pPr>
              <w:pStyle w:val="Compact"/>
            </w:pPr>
            <w:r>
              <w:t xml:space="preserve">Medical LUNA</w:t>
            </w:r>
          </w:p>
        </w:tc>
        <w:tc>
          <w:tcPr/>
          <w:p>
            <w:pPr>
              <w:pStyle w:val="Compact"/>
            </w:pPr>
            <w:r>
              <w:t xml:space="preserve">Healthcare conversational layer for symptom triage, medication guidance, health Q&amp;A, and student support.</w:t>
            </w:r>
          </w:p>
        </w:tc>
        <w:tc>
          <w:tcPr/>
          <w:p>
            <w:pPr>
              <w:pStyle w:val="Compact"/>
            </w:pPr>
            <w:r>
              <w:t xml:space="preserve">Multilingual NLP, STT/TTS, reasoning agents, integration with LABAID GPT</w:t>
            </w:r>
          </w:p>
        </w:tc>
        <w:tc>
          <w:tcPr/>
          <w:p>
            <w:pPr>
              <w:pStyle w:val="Compact"/>
            </w:pPr>
            <w:r>
              <w:t xml:space="preserve">Live to MVP depending on sub-service</w:t>
            </w:r>
          </w:p>
        </w:tc>
        <w:tc>
          <w:tcPr/>
          <w:p>
            <w:pPr>
              <w:pStyle w:val="Compact"/>
            </w:pPr>
            <w:r>
              <w:t xml:space="preserve">Patients, junior doctors, students, care teams</w:t>
            </w:r>
          </w:p>
        </w:tc>
        <w:tc>
          <w:tcPr/>
          <w:p>
            <w:pPr>
              <w:pStyle w:val="Compact"/>
            </w:pPr>
            <w:r>
              <w:t xml:space="preserve">4.8/5.0 guidance rating appears in the related triage capability family; direct LUNA-only ROI is not separately quantified. fileciteturn0file0 fileciteturn0file1 fileciteturn0file11</w:t>
            </w:r>
          </w:p>
        </w:tc>
      </w:tr>
      <w:tr>
        <w:tc>
          <w:tcPr/>
          <w:p>
            <w:pPr>
              <w:pStyle w:val="Compact"/>
            </w:pPr>
            <w:r>
              <w:t xml:space="preserve">MedCore AI Suite</w:t>
            </w:r>
          </w:p>
        </w:tc>
        <w:tc>
          <w:tcPr/>
          <w:p>
            <w:pPr>
              <w:pStyle w:val="Compact"/>
            </w:pPr>
            <w:r>
              <w:t xml:space="preserve">Diagnostic-centre digital platform with doctor discovery, booking, patient portal, reports, QR download, EMR support, chatbot, and AI symptom analysis.</w:t>
            </w:r>
          </w:p>
        </w:tc>
        <w:tc>
          <w:tcPr/>
          <w:p>
            <w:pPr>
              <w:pStyle w:val="Compact"/>
            </w:pPr>
            <w:r>
              <w:t xml:space="preserve">Next.js, React, Node.js/Express, PostgreSQL, AWS S3, Twilio/WhatsApp, Anthropic Claude, Groq, QR links, JWT/RBAC</w:t>
            </w:r>
          </w:p>
        </w:tc>
        <w:tc>
          <w:tcPr/>
          <w:p>
            <w:pPr>
              <w:pStyle w:val="Compact"/>
            </w:pPr>
            <w:r>
              <w:t xml:space="preserve">Live v2.0 / phased MVP rollout</w:t>
            </w:r>
          </w:p>
        </w:tc>
        <w:tc>
          <w:tcPr/>
          <w:p>
            <w:pPr>
              <w:pStyle w:val="Compact"/>
            </w:pPr>
            <w:r>
              <w:t xml:space="preserve">Diagnostic-centre admins, doctors, patients</w:t>
            </w:r>
          </w:p>
        </w:tc>
        <w:tc>
          <w:tcPr/>
          <w:p>
            <w:pPr>
              <w:pStyle w:val="Compact"/>
            </w:pPr>
            <w:r>
              <w:t xml:space="preserve">60% reduction in scheduling workload; booking completion target under 3 minutes; patient-portal adoption target above 50%. fileciteturn0file4 fileciteturn0file5 fileciteturn0file11</w:t>
            </w:r>
          </w:p>
        </w:tc>
      </w:tr>
      <w:tr>
        <w:tc>
          <w:tcPr/>
          <w:p>
            <w:pPr>
              <w:pStyle w:val="Compact"/>
            </w:pPr>
            <w:r>
              <w:t xml:space="preserve">Medical AI Assistant</w:t>
            </w:r>
          </w:p>
        </w:tc>
        <w:tc>
          <w:tcPr/>
          <w:p>
            <w:pPr>
              <w:pStyle w:val="Compact"/>
            </w:pPr>
            <w:r>
              <w:t xml:space="preserve">Foundational healthcare solution family combining imaging, OCR, and symptom guidance for hospitals and telehealth.</w:t>
            </w:r>
          </w:p>
        </w:tc>
        <w:tc>
          <w:tcPr/>
          <w:p>
            <w:pPr>
              <w:pStyle w:val="Compact"/>
            </w:pPr>
            <w:r>
              <w:t xml:space="preserve">CNNs, Vision Transformer OCR, BERT clinical NLP, probabilistic models, MEWS, PACS/EHR integration</w:t>
            </w:r>
          </w:p>
        </w:tc>
        <w:tc>
          <w:tcPr/>
          <w:p>
            <w:pPr>
              <w:pStyle w:val="Compact"/>
            </w:pPr>
            <w:r>
              <w:t xml:space="preserve">Case-study reference implementation</w:t>
            </w:r>
          </w:p>
        </w:tc>
        <w:tc>
          <w:tcPr/>
          <w:p>
            <w:pPr>
              <w:pStyle w:val="Compact"/>
            </w:pPr>
            <w:r>
              <w:t xml:space="preserve">Hospitals, radiology groups, telehealth platforms</w:t>
            </w:r>
          </w:p>
        </w:tc>
        <w:tc>
          <w:tcPr/>
          <w:p>
            <w:pPr>
              <w:pStyle w:val="Compact"/>
            </w:pPr>
            <w:r>
              <w:t xml:space="preserve">94.7% early-malignancy sensitivity; 95.6% prescription OCR accuracy; 30% lower low-acuity appointments; 35% lower radiologist workload. fileciteturn0file0 fileciteturn0file11</w:t>
            </w:r>
          </w:p>
        </w:tc>
      </w:tr>
      <w:tr>
        <w:tc>
          <w:tcPr/>
          <w:p>
            <w:pPr>
              <w:pStyle w:val="Compact"/>
            </w:pPr>
            <w:r>
              <w:t xml:space="preserve">Cancer-Specific Healthcare Chatbot</w:t>
            </w:r>
          </w:p>
        </w:tc>
        <w:tc>
          <w:tcPr/>
          <w:p>
            <w:pPr>
              <w:pStyle w:val="Compact"/>
            </w:pPr>
            <w:r>
              <w:t xml:space="preserve">Design blueprint for an oncology chatbot with knowledge ontology, empathy patterns, clinical escalation, and phased deployment.</w:t>
            </w:r>
          </w:p>
        </w:tc>
        <w:tc>
          <w:tcPr/>
          <w:p>
            <w:pPr>
              <w:pStyle w:val="Compact"/>
            </w:pPr>
            <w:r>
              <w:t xml:space="preserve">Intent recognition, entity extraction, sentiment analysis, versioned knowledge base, secure APIs, voice interface, staged rollout</w:t>
            </w:r>
          </w:p>
        </w:tc>
        <w:tc>
          <w:tcPr/>
          <w:p>
            <w:pPr>
              <w:pStyle w:val="Compact"/>
            </w:pPr>
            <w:r>
              <w:t xml:space="preserve">Blueprint / design guide</w:t>
            </w:r>
          </w:p>
        </w:tc>
        <w:tc>
          <w:tcPr/>
          <w:p>
            <w:pPr>
              <w:pStyle w:val="Compact"/>
            </w:pPr>
            <w:r>
              <w:t xml:space="preserve">Oncology patients, navigators, nurses, hospital admins</w:t>
            </w:r>
          </w:p>
        </w:tc>
        <w:tc>
          <w:tcPr/>
          <w:p>
            <w:pPr>
              <w:pStyle w:val="Compact"/>
            </w:pPr>
            <w:r>
              <w:t xml:space="preserve">No delivered outcome metrics are stated; the document instead defines KPI tracking, staged validation, and expansion paths. fileciteturn0file3</w:t>
            </w:r>
          </w:p>
        </w:tc>
      </w:tr>
      <w:tr>
        <w:tc>
          <w:tcPr/>
          <w:p>
            <w:pPr>
              <w:pStyle w:val="Compact"/>
            </w:pPr>
            <w:r>
              <w:t xml:space="preserve">LUNA Multi-Domain AI Assistant</w:t>
            </w:r>
          </w:p>
        </w:tc>
        <w:tc>
          <w:tcPr/>
          <w:p>
            <w:pPr>
              <w:pStyle w:val="Compact"/>
            </w:pPr>
            <w:r>
              <w:t xml:space="preserve">Reusable omni-vertical assistant spanning medical, e-commerce, banking, customer care, and personal productivity.</w:t>
            </w:r>
          </w:p>
        </w:tc>
        <w:tc>
          <w:tcPr/>
          <w:p>
            <w:pPr>
              <w:pStyle w:val="Compact"/>
            </w:pPr>
            <w:r>
              <w:t xml:space="preserve">Claude/GPT-class models, Whisper-style STT, TTS, LangChain-style orchestration, web embedding, 3D avatar support</w:t>
            </w:r>
          </w:p>
        </w:tc>
        <w:tc>
          <w:tcPr/>
          <w:p>
            <w:pPr>
              <w:pStyle w:val="Compact"/>
            </w:pPr>
            <w:r>
              <w:t xml:space="preserve">Live to in-development depending on vertical</w:t>
            </w:r>
          </w:p>
        </w:tc>
        <w:tc>
          <w:tcPr/>
          <w:p>
            <w:pPr>
              <w:pStyle w:val="Compact"/>
            </w:pPr>
            <w:r>
              <w:t xml:space="preserve">Consumers, patients, bank customers, contact-centre teams, enterprise operators</w:t>
            </w:r>
          </w:p>
        </w:tc>
        <w:tc>
          <w:tcPr/>
          <w:p>
            <w:pPr>
              <w:pStyle w:val="Compact"/>
            </w:pPr>
            <w:r>
              <w:t xml:space="preserve">22% e-commerce conversion lift, 12% higher AOV, 70% agent deflection, 60% banking call-volume reduction, 3.2x DAU increase, +18 NPS. fileciteturn0file0 fileciteturn0file1 fileciteturn0file11</w:t>
            </w:r>
          </w:p>
        </w:tc>
      </w:tr>
      <w:tr>
        <w:tc>
          <w:tcPr/>
          <w:p>
            <w:pPr>
              <w:pStyle w:val="Compact"/>
            </w:pPr>
            <w:r>
              <w:t xml:space="preserve">PrimeOCR</w:t>
            </w:r>
          </w:p>
        </w:tc>
        <w:tc>
          <w:tcPr/>
          <w:p>
            <w:pPr>
              <w:pStyle w:val="Compact"/>
            </w:pPr>
            <w:r>
              <w:t xml:space="preserve">On-premises OCR/ICR platform for banking forms with routing by confidence, audit logs, and maker-checker review.</w:t>
            </w:r>
          </w:p>
        </w:tc>
        <w:tc>
          <w:tcPr/>
          <w:p>
            <w:pPr>
              <w:pStyle w:val="Compact"/>
            </w:pPr>
            <w:r>
              <w:t xml:space="preserve">LLaMA 3.2 Vision, Tesseract 5.3, Angular, NestJS, FastAPI, PostgreSQL, MinIO, RabbitMQ, Docker, Kubernetes</w:t>
            </w:r>
          </w:p>
        </w:tc>
        <w:tc>
          <w:tcPr/>
          <w:p>
            <w:pPr>
              <w:pStyle w:val="Compact"/>
            </w:pPr>
            <w:r>
              <w:t xml:space="preserve">Proposal / in development</w:t>
            </w:r>
          </w:p>
        </w:tc>
        <w:tc>
          <w:tcPr/>
          <w:p>
            <w:pPr>
              <w:pStyle w:val="Compact"/>
            </w:pPr>
            <w:r>
              <w:t xml:space="preserve">Banks, back-office ops teams, compliance teams</w:t>
            </w:r>
          </w:p>
        </w:tc>
        <w:tc>
          <w:tcPr/>
          <w:p>
            <w:pPr>
              <w:pStyle w:val="Compact"/>
            </w:pPr>
            <w:r>
              <w:t xml:space="preserve">95%+ English accuracy, 85%+ Bangla accuracy, review time under 3 minutes, 70–80% faster overall processing. fileciteturn0file11</w:t>
            </w:r>
          </w:p>
        </w:tc>
      </w:tr>
      <w:tr>
        <w:tc>
          <w:tcPr/>
          <w:p>
            <w:pPr>
              <w:pStyle w:val="Compact"/>
            </w:pPr>
            <w:r>
              <w:t xml:space="preserve">Banking Virtual Financial Assistant</w:t>
            </w:r>
          </w:p>
        </w:tc>
        <w:tc>
          <w:tcPr/>
          <w:p>
            <w:pPr>
              <w:pStyle w:val="Compact"/>
            </w:pPr>
            <w:r>
              <w:t xml:space="preserve">Voice-first assistant for authentication, transactions, fraud detection, and cash-flow advice.</w:t>
            </w:r>
          </w:p>
        </w:tc>
        <w:tc>
          <w:tcPr/>
          <w:p>
            <w:pPr>
              <w:pStyle w:val="Compact"/>
            </w:pPr>
            <w:r>
              <w:t xml:space="preserve">Voice biometrics, NLP entity extraction, predictive analytics, core-banking integrations</w:t>
            </w:r>
          </w:p>
        </w:tc>
        <w:tc>
          <w:tcPr/>
          <w:p>
            <w:pPr>
              <w:pStyle w:val="Compact"/>
            </w:pPr>
            <w:r>
              <w:t xml:space="preserve">Case-study reference implementation</w:t>
            </w:r>
          </w:p>
        </w:tc>
        <w:tc>
          <w:tcPr/>
          <w:p>
            <w:pPr>
              <w:pStyle w:val="Compact"/>
            </w:pPr>
            <w:r>
              <w:t xml:space="preserve">Regional banks, customer-service teams, retail banking customers</w:t>
            </w:r>
          </w:p>
        </w:tc>
        <w:tc>
          <w:tcPr/>
          <w:p>
            <w:pPr>
              <w:pStyle w:val="Compact"/>
            </w:pPr>
            <w:r>
              <w:t xml:space="preserve">99.1% authentication accuracy; 60% reduction in call volume; $12M annual savings; 45% lower social-engineering fraud. fileciteturn0file0 fileciteturn0file11</w:t>
            </w:r>
          </w:p>
        </w:tc>
      </w:tr>
      <w:tr>
        <w:tc>
          <w:tcPr/>
          <w:p>
            <w:pPr>
              <w:pStyle w:val="Compact"/>
            </w:pPr>
            <w:r>
              <w:t xml:space="preserve">E-Commerce Conversational Commerce Engine</w:t>
            </w:r>
          </w:p>
        </w:tc>
        <w:tc>
          <w:tcPr/>
          <w:p>
            <w:pPr>
              <w:pStyle w:val="Compact"/>
            </w:pPr>
            <w:r>
              <w:t xml:space="preserve">Multilingual conversational commerce with voice, image search, inventory Q&amp;A, and discount negotiation.</w:t>
            </w:r>
          </w:p>
        </w:tc>
        <w:tc>
          <w:tcPr/>
          <w:p>
            <w:pPr>
              <w:pStyle w:val="Compact"/>
            </w:pPr>
            <w:r>
              <w:t xml:space="preserve">ASR, NLP, multimodal product search, reinforcement learning, recommendation logic</w:t>
            </w:r>
          </w:p>
        </w:tc>
        <w:tc>
          <w:tcPr/>
          <w:p>
            <w:pPr>
              <w:pStyle w:val="Compact"/>
            </w:pPr>
            <w:r>
              <w:t xml:space="preserve">Case-study reference implementation</w:t>
            </w:r>
          </w:p>
        </w:tc>
        <w:tc>
          <w:tcPr/>
          <w:p>
            <w:pPr>
              <w:pStyle w:val="Compact"/>
            </w:pPr>
            <w:r>
              <w:t xml:space="preserve">E-commerce merchants, shoppers, support teams</w:t>
            </w:r>
          </w:p>
        </w:tc>
        <w:tc>
          <w:tcPr/>
          <w:p>
            <w:pPr>
              <w:pStyle w:val="Compact"/>
            </w:pPr>
            <w:r>
              <w:t xml:space="preserve">22% conversion lift, +12% AOV, 70% human-agent deflection. fileciteturn0file0 fileciteturn0file11</w:t>
            </w:r>
          </w:p>
        </w:tc>
      </w:tr>
      <w:tr>
        <w:tc>
          <w:tcPr/>
          <w:p>
            <w:pPr>
              <w:pStyle w:val="Compact"/>
            </w:pPr>
            <w:r>
              <w:t xml:space="preserve">1-Tap App AI Chatbot</w:t>
            </w:r>
          </w:p>
        </w:tc>
        <w:tc>
          <w:tcPr/>
          <w:p>
            <w:pPr>
              <w:pStyle w:val="Compact"/>
            </w:pPr>
            <w:r>
              <w:t xml:space="preserve">Platform-specific multilingual assistant for service booking, updates, recommendations, and retrieval-based Q&amp;A.</w:t>
            </w:r>
          </w:p>
        </w:tc>
        <w:tc>
          <w:tcPr/>
          <w:p>
            <w:pPr>
              <w:pStyle w:val="Compact"/>
            </w:pPr>
            <w:r>
              <w:t xml:space="preserve">LLMs, embeddings, vector DB, backend API integration, reinforcement learning from feedback</w:t>
            </w:r>
          </w:p>
        </w:tc>
        <w:tc>
          <w:tcPr/>
          <w:p>
            <w:pPr>
              <w:pStyle w:val="Compact"/>
            </w:pPr>
            <w:r>
              <w:t xml:space="preserve">MVP / live pilot indicators</w:t>
            </w:r>
          </w:p>
        </w:tc>
        <w:tc>
          <w:tcPr/>
          <w:p>
            <w:pPr>
              <w:pStyle w:val="Compact"/>
            </w:pPr>
            <w:r>
              <w:t xml:space="preserve">Service-platform users, vendors, support teams</w:t>
            </w:r>
          </w:p>
        </w:tc>
        <w:tc>
          <w:tcPr/>
          <w:p>
            <w:pPr>
              <w:pStyle w:val="Compact"/>
            </w:pPr>
            <w:r>
              <w:t xml:space="preserve">Targeted model accuracy at or above 85%, response time under 3 seconds, user satisfaction above 90%. fileciteturn0file1 fileciteturn0file11</w:t>
            </w:r>
          </w:p>
        </w:tc>
      </w:tr>
      <w:tr>
        <w:tc>
          <w:tcPr/>
          <w:p>
            <w:pPr>
              <w:pStyle w:val="Compact"/>
            </w:pPr>
            <w:r>
              <w:t xml:space="preserve">HelloKhata AI Copilot</w:t>
            </w:r>
          </w:p>
        </w:tc>
        <w:tc>
          <w:tcPr/>
          <w:p>
            <w:pPr>
              <w:pStyle w:val="Compact"/>
            </w:pPr>
            <w:r>
              <w:t xml:space="preserve">Bangla-first AI retail OS with voice AI, business health scoring, dead-stock detection, risk scoring, and guarded write actions.</w:t>
            </w:r>
          </w:p>
        </w:tc>
        <w:tc>
          <w:tcPr/>
          <w:p>
            <w:pPr>
              <w:pStyle w:val="Compact"/>
            </w:pPr>
            <w:r>
              <w:t xml:space="preserve">Next.js 16, TypeScript, TanStack Query, Zustand, Web Speech API, tool calling, Zod validation, offline queue, fuzzy match</w:t>
            </w:r>
          </w:p>
        </w:tc>
        <w:tc>
          <w:tcPr/>
          <w:p>
            <w:pPr>
              <w:pStyle w:val="Compact"/>
            </w:pPr>
            <w:r>
              <w:t xml:space="preserve">Architecture proposal / design-stage</w:t>
            </w:r>
          </w:p>
        </w:tc>
        <w:tc>
          <w:tcPr/>
          <w:p>
            <w:pPr>
              <w:pStyle w:val="Compact"/>
            </w:pPr>
            <w:r>
              <w:t xml:space="preserve">Bangladeshi SME shop owners and branch managers</w:t>
            </w:r>
          </w:p>
        </w:tc>
        <w:tc>
          <w:tcPr/>
          <w:p>
            <w:pPr>
              <w:pStyle w:val="Compact"/>
            </w:pPr>
            <w:r>
              <w:t xml:space="preserve">Current documents do not show deployed ROI; the roadmap explicitly targets 90% manual-entry reduction via future invoice OCR. fileciteturn0file2</w:t>
            </w:r>
          </w:p>
        </w:tc>
      </w:tr>
      <w:tr>
        <w:tc>
          <w:tcPr/>
          <w:p>
            <w:pPr>
              <w:pStyle w:val="Compact"/>
            </w:pPr>
            <w:r>
              <w:t xml:space="preserve">Project Eugenia</w:t>
            </w:r>
          </w:p>
        </w:tc>
        <w:tc>
          <w:tcPr/>
          <w:p>
            <w:pPr>
              <w:pStyle w:val="Compact"/>
            </w:pPr>
            <w:r>
              <w:t xml:space="preserve">Cloud-native decision-support platform for real estate and property operations across seven-plus systems.</w:t>
            </w:r>
          </w:p>
        </w:tc>
        <w:tc>
          <w:tcPr/>
          <w:p>
            <w:pPr>
              <w:pStyle w:val="Compact"/>
            </w:pPr>
            <w:r>
              <w:t xml:space="preserve">Azure Synapse, Databricks, scikit-learn, XGBoost, Random Forest, Isolation Forest, React, Node.js, OAuth2</w:t>
            </w:r>
          </w:p>
        </w:tc>
        <w:tc>
          <w:tcPr/>
          <w:p>
            <w:pPr>
              <w:pStyle w:val="Compact"/>
            </w:pPr>
            <w:r>
              <w:t xml:space="preserve">Proposal / PoC</w:t>
            </w:r>
          </w:p>
        </w:tc>
        <w:tc>
          <w:tcPr/>
          <w:p>
            <w:pPr>
              <w:pStyle w:val="Compact"/>
            </w:pPr>
            <w:r>
              <w:t xml:space="preserve">Property managers, maintenance planners, asset owners</w:t>
            </w:r>
          </w:p>
        </w:tc>
        <w:tc>
          <w:tcPr/>
          <w:p>
            <w:pPr>
              <w:pStyle w:val="Compact"/>
            </w:pPr>
            <w:r>
              <w:t xml:space="preserve">Projected 10–15% reduction in operating and energy costs, 8–12% energy savings, and 5%+ tenant-satisfaction improvement. fileciteturn0file11</w:t>
            </w:r>
          </w:p>
        </w:tc>
      </w:tr>
      <w:tr>
        <w:tc>
          <w:tcPr/>
          <w:p>
            <w:pPr>
              <w:pStyle w:val="Compact"/>
            </w:pPr>
            <w:r>
              <w:t xml:space="preserve">Medical LMS with AR/VR and AI Mentor</w:t>
            </w:r>
          </w:p>
        </w:tc>
        <w:tc>
          <w:tcPr/>
          <w:p>
            <w:pPr>
              <w:pStyle w:val="Compact"/>
            </w:pPr>
            <w:r>
              <w:t xml:space="preserve">AR/VR anatomy, pathology, simulation, AI tutoring, and surgical assessment environment.</w:t>
            </w:r>
          </w:p>
        </w:tc>
        <w:tc>
          <w:tcPr/>
          <w:p>
            <w:pPr>
              <w:pStyle w:val="Compact"/>
            </w:pPr>
            <w:r>
              <w:t xml:space="preserve">Unity, C#, Meta Quest 3, HoloLens 2, haptic controllers, computer vision, NLP</w:t>
            </w:r>
          </w:p>
        </w:tc>
        <w:tc>
          <w:tcPr/>
          <w:p>
            <w:pPr>
              <w:pStyle w:val="Compact"/>
            </w:pPr>
            <w:r>
              <w:t xml:space="preserve">Case-study / solution proposal</w:t>
            </w:r>
          </w:p>
        </w:tc>
        <w:tc>
          <w:tcPr/>
          <w:p>
            <w:pPr>
              <w:pStyle w:val="Compact"/>
            </w:pPr>
            <w:r>
              <w:t xml:space="preserve">Medical schools, nursing programs, residencies</w:t>
            </w:r>
          </w:p>
        </w:tc>
        <w:tc>
          <w:tcPr/>
          <w:p>
            <w:pPr>
              <w:pStyle w:val="Compact"/>
            </w:pPr>
            <w:r>
              <w:t xml:space="preserve">78% better retention, 60% lower per-student cost over three years, 50% fewer resident complications, 70% less faculty Q&amp;A load. fileciteturn0file0 fileciteturn0file11</w:t>
            </w:r>
          </w:p>
        </w:tc>
      </w:tr>
      <w:tr>
        <w:tc>
          <w:tcPr/>
          <w:p>
            <w:pPr>
              <w:pStyle w:val="Compact"/>
            </w:pPr>
            <w:r>
              <w:t xml:space="preserve">Jotax BI and Automate Analytics</w:t>
            </w:r>
          </w:p>
        </w:tc>
        <w:tc>
          <w:tcPr/>
          <w:p>
            <w:pPr>
              <w:pStyle w:val="Compact"/>
            </w:pPr>
            <w:r>
              <w:t xml:space="preserve">Analytics-automation solution for reporting, semantic modeling, and localized business logic.</w:t>
            </w:r>
          </w:p>
        </w:tc>
        <w:tc>
          <w:tcPr/>
          <w:p>
            <w:pPr>
              <w:pStyle w:val="Compact"/>
            </w:pPr>
            <w:r>
              <w:t xml:space="preserve">Power BI, DAX, Power Automate, Oracle data relay, bilingual semantic modeling</w:t>
            </w:r>
          </w:p>
        </w:tc>
        <w:tc>
          <w:tcPr/>
          <w:p>
            <w:pPr>
              <w:pStyle w:val="Compact"/>
            </w:pPr>
            <w:r>
              <w:t xml:space="preserve">Delivered case study</w:t>
            </w:r>
          </w:p>
        </w:tc>
        <w:tc>
          <w:tcPr/>
          <w:p>
            <w:pPr>
              <w:pStyle w:val="Compact"/>
            </w:pPr>
            <w:r>
              <w:t xml:space="preserve">Finance and operations teams</w:t>
            </w:r>
          </w:p>
        </w:tc>
        <w:tc>
          <w:tcPr/>
          <w:p>
            <w:pPr>
              <w:pStyle w:val="Compact"/>
            </w:pPr>
            <w:r>
              <w:t xml:space="preserve">80% lower reporting time, 3–5% calculation-error elimination, €42K quarterly variance removed. fileciteturn0file11</w:t>
            </w:r>
          </w:p>
        </w:tc>
      </w:tr>
    </w:tbl>
    <w:bookmarkEnd w:id="23"/>
    <w:bookmarkStart w:id="24" w:name="case-studies"/>
    <w:p>
      <w:pPr>
        <w:pStyle w:val="Heading2"/>
      </w:pPr>
      <w:r>
        <w:t xml:space="preserve">Case Studies</w:t>
      </w:r>
    </w:p>
    <w:p>
      <w:pPr>
        <w:pStyle w:val="FirstParagraph"/>
      </w:pPr>
      <w:r>
        <w:rPr>
          <w:b/>
          <w:bCs/>
        </w:rPr>
        <w:t xml:space="preserve">Medical AI Assistant.</w:t>
      </w:r>
      <w:r>
        <w:t xml:space="preserve"> </w:t>
      </w:r>
      <w:r>
        <w:rPr>
          <w:i/>
          <w:iCs/>
        </w:rPr>
        <w:t xml:space="preserve">Client / stakeholder:</w:t>
      </w:r>
      <w:r>
        <w:t xml:space="preserve"> </w:t>
      </w:r>
      <w:r>
        <w:t xml:space="preserve">hospitals, radiology groups, telehealth platforms, clinicians, and patients.</w:t>
      </w:r>
      <w:r>
        <w:t xml:space="preserve"> </w:t>
      </w:r>
      <w:r>
        <w:rPr>
          <w:i/>
          <w:iCs/>
        </w:rPr>
        <w:t xml:space="preserve">Pain points:</w:t>
      </w:r>
      <w:r>
        <w:t xml:space="preserve"> </w:t>
      </w:r>
      <w:r>
        <w:t xml:space="preserve">radiologist workload increases of 30–50% annually, interpretation errors affecting 3–5% of cases, prescription-legibility issues, primary-care time spent on low-acuity cases, and a 65% rural oncologist shortage causing four- to six-week delays.</w:t>
      </w:r>
      <w:r>
        <w:t xml:space="preserve"> </w:t>
      </w:r>
      <w:r>
        <w:rPr>
          <w:i/>
          <w:iCs/>
        </w:rPr>
        <w:t xml:space="preserve">Solution architecture:</w:t>
      </w:r>
      <w:r>
        <w:t xml:space="preserve"> </w:t>
      </w:r>
      <w:r>
        <w:t xml:space="preserve">a three-part stack—CNN-based medical image and test reading integrated with PACS and Epic/Cerner via HL7/FHIR-style APIs; a Vision Transformer-based prescription OCR layer with drug-interaction and dosage validation; and a BERT-based clinical NLP and probabilistic differential-diagnosis layer using MEWS severity scoring.</w:t>
      </w:r>
      <w:r>
        <w:t xml:space="preserve"> </w:t>
      </w:r>
      <w:r>
        <w:rPr>
          <w:i/>
          <w:iCs/>
        </w:rPr>
        <w:t xml:space="preserve">Technical differentiators:</w:t>
      </w:r>
      <w:r>
        <w:t xml:space="preserve"> </w:t>
      </w:r>
      <w:r>
        <w:t xml:space="preserve">heatmap localization, explicit care-pathway outputs, and the fusion of image, document, and symptom channels into one clinical workflow.</w:t>
      </w:r>
      <w:r>
        <w:t xml:space="preserve"> </w:t>
      </w:r>
      <w:r>
        <w:rPr>
          <w:i/>
          <w:iCs/>
        </w:rPr>
        <w:t xml:space="preserve">Business impact:</w:t>
      </w:r>
      <w:r>
        <w:t xml:space="preserve"> </w:t>
      </w:r>
      <w:r>
        <w:t xml:space="preserve">35% lower radiologist workload, 40% improvement in early-stage detection, wait times reduced from weeks to 24 hours, 30% fewer low-acuity appointments, and a 4.8/5 guidance rating.</w:t>
      </w:r>
      <w:r>
        <w:t xml:space="preserve"> </w:t>
      </w:r>
      <w:r>
        <w:rPr>
          <w:i/>
          <w:iCs/>
        </w:rPr>
        <w:t xml:space="preserve">Team size and duration:</w:t>
      </w:r>
      <w:r>
        <w:t xml:space="preserve"> </w:t>
      </w:r>
      <w:r>
        <w:t xml:space="preserve">not explicitly stated; the portfolio positions the commercial sales cycle at six to nine months and even provides a sample deployment narrative with PACS/EHR integration completed in three weeks. fileciteturn0file0 fileciteturn0file11</w:t>
      </w:r>
    </w:p>
    <w:p>
      <w:pPr>
        <w:pStyle w:val="BodyText"/>
      </w:pPr>
      <w:r>
        <w:rPr>
          <w:b/>
          <w:bCs/>
        </w:rPr>
        <w:t xml:space="preserve">LABAID GPT.</w:t>
      </w:r>
      <w:r>
        <w:t xml:space="preserve"> </w:t>
      </w:r>
      <w:r>
        <w:rPr>
          <w:i/>
          <w:iCs/>
        </w:rPr>
        <w:t xml:space="preserve">Client / stakeholder:</w:t>
      </w:r>
      <w:r>
        <w:t xml:space="preserve"> </w:t>
      </w:r>
      <w:r>
        <w:t xml:space="preserve">LABAID Cancer Hospital, LABAID Cardiac Center, LifePlus Telemedicine, physicians, patients, and junior clinicians.</w:t>
      </w:r>
      <w:r>
        <w:t xml:space="preserve"> </w:t>
      </w:r>
      <w:r>
        <w:rPr>
          <w:i/>
          <w:iCs/>
        </w:rPr>
        <w:t xml:space="preserve">Pain points:</w:t>
      </w:r>
      <w:r>
        <w:t xml:space="preserve"> </w:t>
      </w:r>
      <w:r>
        <w:t xml:space="preserve">the need for a scalable second-opinion system that can accept symptoms, reports, and imaging while extending specialist-grade reasoning to underserved settings.</w:t>
      </w:r>
      <w:r>
        <w:t xml:space="preserve"> </w:t>
      </w:r>
      <w:r>
        <w:rPr>
          <w:i/>
          <w:iCs/>
        </w:rPr>
        <w:t xml:space="preserve">Solution architecture:</w:t>
      </w:r>
      <w:r>
        <w:t xml:space="preserve"> </w:t>
      </w:r>
      <w:r>
        <w:t xml:space="preserve">the Healthcare AI deck outlines an implementation roadmap from EMR and other data sources through ETL, preprocessing, dataset generation, PEFT/LoRA fine-tuning, evaluation, prediction, and integration. The current-status materials show agents for pre-screening and symptom analysis, medicine detailing, prescription reading, GP support, and medical-imagery parsing, plus OCR, API, GUI, and STT/TTS capability.</w:t>
      </w:r>
      <w:r>
        <w:t xml:space="preserve"> </w:t>
      </w:r>
      <w:r>
        <w:rPr>
          <w:i/>
          <w:iCs/>
        </w:rPr>
        <w:t xml:space="preserve">Technical differentiators:</w:t>
      </w:r>
      <w:r>
        <w:t xml:space="preserve"> </w:t>
      </w:r>
      <w:r>
        <w:t xml:space="preserve">reasoning rather than static FAQ behavior, multimodal and multilingual operation, and an explicit hospital-integrated subscription SaaS model.</w:t>
      </w:r>
      <w:r>
        <w:t xml:space="preserve"> </w:t>
      </w:r>
      <w:r>
        <w:rPr>
          <w:i/>
          <w:iCs/>
        </w:rPr>
        <w:t xml:space="preserve">Business impact:</w:t>
      </w:r>
      <w:r>
        <w:t xml:space="preserve"> </w:t>
      </w:r>
      <w:r>
        <w:t xml:space="preserve">the later case-study compendium attributes the same clinically oriented gains found in the wider medical portfolio—especially faster screening and workload deflection—to the LABAID GPT family.</w:t>
      </w:r>
      <w:r>
        <w:t xml:space="preserve"> </w:t>
      </w:r>
      <w:r>
        <w:rPr>
          <w:i/>
          <w:iCs/>
        </w:rPr>
        <w:t xml:space="preserve">Team size and duration:</w:t>
      </w:r>
      <w:r>
        <w:t xml:space="preserve"> </w:t>
      </w:r>
      <w:r>
        <w:t xml:space="preserve">the deck defines a seven-function team structure—lead, MLOps, AI/ML, data, full-stack, UX/UI, QA—but does not state headcount or elapsed delivery time for LABAID GPT specifically. fileciteturn0file1 fileciteturn0file3 fileciteturn0file11</w:t>
      </w:r>
    </w:p>
    <w:p>
      <w:pPr>
        <w:pStyle w:val="BodyText"/>
      </w:pPr>
      <w:r>
        <w:rPr>
          <w:b/>
          <w:bCs/>
        </w:rPr>
        <w:t xml:space="preserve">LUNA.</w:t>
      </w:r>
      <w:r>
        <w:t xml:space="preserve"> </w:t>
      </w:r>
      <w:r>
        <w:rPr>
          <w:i/>
          <w:iCs/>
        </w:rPr>
        <w:t xml:space="preserve">Client / stakeholder:</w:t>
      </w:r>
      <w:r>
        <w:t xml:space="preserve"> </w:t>
      </w:r>
      <w:r>
        <w:t xml:space="preserve">patients, shoppers, bank customers, contact-centre operators, and enterprise service teams.</w:t>
      </w:r>
      <w:r>
        <w:t xml:space="preserve"> </w:t>
      </w:r>
      <w:r>
        <w:rPr>
          <w:i/>
          <w:iCs/>
        </w:rPr>
        <w:t xml:space="preserve">Pain points:</w:t>
      </w:r>
      <w:r>
        <w:t xml:space="preserve"> </w:t>
      </w:r>
      <w:r>
        <w:t xml:space="preserve">high customer-service cost, language preference gaps, channel switching, cart abandonment, low-value banking call volume, and the need for a reusable conversational shell across verticals.</w:t>
      </w:r>
      <w:r>
        <w:t xml:space="preserve"> </w:t>
      </w:r>
      <w:r>
        <w:rPr>
          <w:i/>
          <w:iCs/>
        </w:rPr>
        <w:t xml:space="preserve">Solution architecture:</w:t>
      </w:r>
      <w:r>
        <w:t xml:space="preserve"> </w:t>
      </w:r>
      <w:r>
        <w:t xml:space="preserve">LUNA is presented as an omni-vertical, omni-channel conversational layer with stand-alone and web-embedded delivery, animated avatar support, Bangla/English/Banglish voice, and verticalized agents for medical, banking, e-commerce, and general use. In healthcare materials it acts as the conversational layer behind LABAID GPT; in broader case-study materials it is tied to customer support, commerce, and banking workflows.</w:t>
      </w:r>
      <w:r>
        <w:t xml:space="preserve"> </w:t>
      </w:r>
      <w:r>
        <w:rPr>
          <w:i/>
          <w:iCs/>
        </w:rPr>
        <w:t xml:space="preserve">Technical differentiators:</w:t>
      </w:r>
      <w:r>
        <w:t xml:space="preserve"> </w:t>
      </w:r>
      <w:r>
        <w:t xml:space="preserve">the product is not framed as a single bot but as a reusable agent family with shared multimodal and multilingual infrastructure.</w:t>
      </w:r>
      <w:r>
        <w:t xml:space="preserve"> </w:t>
      </w:r>
      <w:r>
        <w:rPr>
          <w:i/>
          <w:iCs/>
        </w:rPr>
        <w:t xml:space="preserve">Business impact:</w:t>
      </w:r>
      <w:r>
        <w:t xml:space="preserve"> </w:t>
      </w:r>
      <w:r>
        <w:t xml:space="preserve">the multi-domain rollout claims 22% conversion lift, 12% AOV uplift, 70% agent deflection, 60% banking call-volume reduction, 3.2x DAU growth, and an 18-point NPS increase.</w:t>
      </w:r>
      <w:r>
        <w:t xml:space="preserve"> </w:t>
      </w:r>
      <w:r>
        <w:rPr>
          <w:i/>
          <w:iCs/>
        </w:rPr>
        <w:t xml:space="preserve">Team size and duration:</w:t>
      </w:r>
      <w:r>
        <w:t xml:space="preserve"> </w:t>
      </w:r>
      <w:r>
        <w:t xml:space="preserve">not stated in the attached materials. fileciteturn0file1 fileciteturn0file3 fileciteturn0file11</w:t>
      </w:r>
    </w:p>
    <w:p>
      <w:pPr>
        <w:pStyle w:val="BodyText"/>
      </w:pPr>
      <w:r>
        <w:rPr>
          <w:b/>
          <w:bCs/>
        </w:rPr>
        <w:t xml:space="preserve">Multi-Modal Omni-Business AI Voice Assistant.</w:t>
      </w:r>
      <w:r>
        <w:t xml:space="preserve"> </w:t>
      </w:r>
      <w:r>
        <w:rPr>
          <w:i/>
          <w:iCs/>
        </w:rPr>
        <w:t xml:space="preserve">Client / stakeholder:</w:t>
      </w:r>
      <w:r>
        <w:t xml:space="preserve"> </w:t>
      </w:r>
      <w:r>
        <w:t xml:space="preserve">e-commerce merchants, regional banks, pharmacy chains, and CRM-led contact centres.</w:t>
      </w:r>
      <w:r>
        <w:t xml:space="preserve"> </w:t>
      </w:r>
      <w:r>
        <w:rPr>
          <w:i/>
          <w:iCs/>
        </w:rPr>
        <w:t xml:space="preserve">Pain points:</w:t>
      </w:r>
      <w:r>
        <w:t xml:space="preserve"> </w:t>
      </w:r>
      <w:r>
        <w:t xml:space="preserve">rising call-centre costs, 24/7 response expectations, language barriers that depress international lead capture, and customer-service fragmentation.</w:t>
      </w:r>
      <w:r>
        <w:t xml:space="preserve"> </w:t>
      </w:r>
      <w:r>
        <w:rPr>
          <w:i/>
          <w:iCs/>
        </w:rPr>
        <w:t xml:space="preserve">Solution architecture:</w:t>
      </w:r>
      <w:r>
        <w:t xml:space="preserve"> </w:t>
      </w:r>
      <w:r>
        <w:t xml:space="preserve">ASR-driven voice and text interaction, multimodal product search, discount negotiation, voice biometrics, transaction entity extraction, real-time translation across 40 languages, pharmacy/clinical IVR routing, call whispering, escalation prediction, summarization, and next-best-action prompts.</w:t>
      </w:r>
      <w:r>
        <w:t xml:space="preserve"> </w:t>
      </w:r>
      <w:r>
        <w:rPr>
          <w:i/>
          <w:iCs/>
        </w:rPr>
        <w:t xml:space="preserve">Technical differentiators:</w:t>
      </w:r>
      <w:r>
        <w:t xml:space="preserve"> </w:t>
      </w:r>
      <w:r>
        <w:t xml:space="preserve">the same architecture is re-skinned by vertical, producing a common conversational engine with sector-specific integrations rather than a bespoke build each time.</w:t>
      </w:r>
      <w:r>
        <w:t xml:space="preserve"> </w:t>
      </w:r>
      <w:r>
        <w:rPr>
          <w:i/>
          <w:iCs/>
        </w:rPr>
        <w:t xml:space="preserve">Business impact:</w:t>
      </w:r>
      <w:r>
        <w:t xml:space="preserve"> </w:t>
      </w:r>
      <w:r>
        <w:t xml:space="preserve">22% e-commerce conversion lift, 70% agent deflection, 60% call-volume reduction and $12M annual savings in banking, 45% less social-engineering fraud, and medical guidance rated 4.8/5.</w:t>
      </w:r>
      <w:r>
        <w:t xml:space="preserve"> </w:t>
      </w:r>
      <w:r>
        <w:rPr>
          <w:i/>
          <w:iCs/>
        </w:rPr>
        <w:t xml:space="preserve">Team size and duration:</w:t>
      </w:r>
      <w:r>
        <w:t xml:space="preserve"> </w:t>
      </w:r>
      <w:r>
        <w:t xml:space="preserve">not specified. In portfolio terms, however, the anticipated sales cycle is shorter than for clinical and academic products at three to six months, reflecting easier commercial packaging. fileciteturn0file0 fileciteturn0file11</w:t>
      </w:r>
    </w:p>
    <w:p>
      <w:pPr>
        <w:pStyle w:val="BodyText"/>
      </w:pPr>
      <w:r>
        <w:rPr>
          <w:b/>
          <w:bCs/>
        </w:rPr>
        <w:t xml:space="preserve">PrimeOCR.</w:t>
      </w:r>
      <w:r>
        <w:t xml:space="preserve"> </w:t>
      </w:r>
      <w:r>
        <w:rPr>
          <w:i/>
          <w:iCs/>
        </w:rPr>
        <w:t xml:space="preserve">Client / stakeholder:</w:t>
      </w:r>
      <w:r>
        <w:t xml:space="preserve"> </w:t>
      </w:r>
      <w:r>
        <w:t xml:space="preserve">Prime Bank and analogous banking back-office and compliance teams.</w:t>
      </w:r>
      <w:r>
        <w:t xml:space="preserve"> </w:t>
      </w:r>
      <w:r>
        <w:rPr>
          <w:i/>
          <w:iCs/>
        </w:rPr>
        <w:t xml:space="preserve">Pain points:</w:t>
      </w:r>
      <w:r>
        <w:t xml:space="preserve"> </w:t>
      </w:r>
      <w:r>
        <w:t xml:space="preserve">15–20 minutes of manual data entry per form, 2–5% per-field errors, mixed Bangla-English scans, strikethrough and quality artifacts, and insufficient auditability.</w:t>
      </w:r>
      <w:r>
        <w:t xml:space="preserve"> </w:t>
      </w:r>
      <w:r>
        <w:rPr>
          <w:i/>
          <w:iCs/>
        </w:rPr>
        <w:t xml:space="preserve">Solution architecture:</w:t>
      </w:r>
      <w:r>
        <w:t xml:space="preserve"> </w:t>
      </w:r>
      <w:r>
        <w:t xml:space="preserve">an on-premises, containerized stack using LLaMA 3.2 Vision as the primary extraction engine, Tesseract as fallback, three confidence-routing bands, split-screen verification, maker-checker workflow, immutable audit logging, and REST integration with Temenos/Finacle-class banking systems.</w:t>
      </w:r>
      <w:r>
        <w:t xml:space="preserve"> </w:t>
      </w:r>
      <w:r>
        <w:rPr>
          <w:i/>
          <w:iCs/>
        </w:rPr>
        <w:t xml:space="preserve">Technical differentiators:</w:t>
      </w:r>
      <w:r>
        <w:t xml:space="preserve"> </w:t>
      </w:r>
      <w:r>
        <w:t xml:space="preserve">this is one of the clearest examples in the corpus of confidence-based human-in-the-loop routing as a first-class architectural primitive, not an afterthought.</w:t>
      </w:r>
      <w:r>
        <w:t xml:space="preserve"> </w:t>
      </w:r>
      <w:r>
        <w:rPr>
          <w:i/>
          <w:iCs/>
        </w:rPr>
        <w:t xml:space="preserve">Business impact:</w:t>
      </w:r>
      <w:r>
        <w:t xml:space="preserve"> </w:t>
      </w:r>
      <w:r>
        <w:t xml:space="preserve">95%+ English accuracy, 85%+ Bangla accuracy, under-three-minute review time, and 70–80% faster overall processing.</w:t>
      </w:r>
      <w:r>
        <w:t xml:space="preserve"> </w:t>
      </w:r>
      <w:r>
        <w:rPr>
          <w:i/>
          <w:iCs/>
        </w:rPr>
        <w:t xml:space="preserve">Team size and duration:</w:t>
      </w:r>
      <w:r>
        <w:t xml:space="preserve"> </w:t>
      </w:r>
      <w:r>
        <w:t xml:space="preserve">not stated; maturity is proposal/in-development rather than demonstrably live. fileciteturn0file11</w:t>
      </w:r>
    </w:p>
    <w:p>
      <w:pPr>
        <w:pStyle w:val="BodyText"/>
      </w:pPr>
      <w:r>
        <w:rPr>
          <w:b/>
          <w:bCs/>
        </w:rPr>
        <w:t xml:space="preserve">Project Eugenia.</w:t>
      </w:r>
      <w:r>
        <w:t xml:space="preserve"> </w:t>
      </w:r>
      <w:r>
        <w:rPr>
          <w:i/>
          <w:iCs/>
        </w:rPr>
        <w:t xml:space="preserve">Client / stakeholder:</w:t>
      </w:r>
      <w:r>
        <w:t xml:space="preserve"> </w:t>
      </w:r>
      <w:r>
        <w:t xml:space="preserve">property owners, real-estate operators, facilities teams, and asset managers.</w:t>
      </w:r>
      <w:r>
        <w:t xml:space="preserve"> </w:t>
      </w:r>
      <w:r>
        <w:rPr>
          <w:i/>
          <w:iCs/>
        </w:rPr>
        <w:t xml:space="preserve">Pain points:</w:t>
      </w:r>
      <w:r>
        <w:t xml:space="preserve"> </w:t>
      </w:r>
      <w:r>
        <w:t xml:space="preserve">data fragmentation across seven or more systems, no unified energy-maintenance-tenant view, and financial losses caused by reactive maintenance or suboptimal pricing.</w:t>
      </w:r>
      <w:r>
        <w:t xml:space="preserve"> </w:t>
      </w:r>
      <w:r>
        <w:rPr>
          <w:i/>
          <w:iCs/>
        </w:rPr>
        <w:t xml:space="preserve">Solution architecture:</w:t>
      </w:r>
      <w:r>
        <w:t xml:space="preserve"> </w:t>
      </w:r>
      <w:r>
        <w:t xml:space="preserve">cloud-native ingestion from Greenview, Fast2, Vitec, MS CRM, Kiona, Curves, and AktivBo into a machine-learning layer spanning XGBoost energy baselines, Isolation Forest anomaly detection, survival-analysis and Random Forest maintenance prediction, sentiment and satisfaction scoring, and hedonic pricing/vacancy-risk models.</w:t>
      </w:r>
      <w:r>
        <w:t xml:space="preserve"> </w:t>
      </w:r>
      <w:r>
        <w:rPr>
          <w:i/>
          <w:iCs/>
        </w:rPr>
        <w:t xml:space="preserve">Technical differentiators:</w:t>
      </w:r>
      <w:r>
        <w:t xml:space="preserve"> </w:t>
      </w:r>
      <w:r>
        <w:t xml:space="preserve">it is more of an intelligence-composition platform than a single model, with prioritized impact scoring and dashboards as the user-facing product.</w:t>
      </w:r>
      <w:r>
        <w:t xml:space="preserve"> </w:t>
      </w:r>
      <w:r>
        <w:rPr>
          <w:i/>
          <w:iCs/>
        </w:rPr>
        <w:t xml:space="preserve">Business impact:</w:t>
      </w:r>
      <w:r>
        <w:t xml:space="preserve"> </w:t>
      </w:r>
      <w:r>
        <w:t xml:space="preserve">projected 10–15% reduction in operating and energy costs, 8–12% energy savings, and 5%+ tenant-satisfaction improvement.</w:t>
      </w:r>
      <w:r>
        <w:t xml:space="preserve"> </w:t>
      </w:r>
      <w:r>
        <w:rPr>
          <w:i/>
          <w:iCs/>
        </w:rPr>
        <w:t xml:space="preserve">Team size and duration:</w:t>
      </w:r>
      <w:r>
        <w:t xml:space="preserve"> </w:t>
      </w:r>
      <w:r>
        <w:t xml:space="preserve">not specified; this is clearly proposal/PoC level. fileciteturn0file11</w:t>
      </w:r>
    </w:p>
    <w:p>
      <w:pPr>
        <w:pStyle w:val="BodyText"/>
      </w:pPr>
      <w:r>
        <w:rPr>
          <w:b/>
          <w:bCs/>
        </w:rPr>
        <w:t xml:space="preserve">Medical LMS with AR/VR and AI Mentor.</w:t>
      </w:r>
      <w:r>
        <w:t xml:space="preserve"> </w:t>
      </w:r>
      <w:r>
        <w:rPr>
          <w:i/>
          <w:iCs/>
        </w:rPr>
        <w:t xml:space="preserve">Client / stakeholder:</w:t>
      </w:r>
      <w:r>
        <w:t xml:space="preserve"> </w:t>
      </w:r>
      <w:r>
        <w:t xml:space="preserve">medical schools, nursing programs, and hospital residency programs.</w:t>
      </w:r>
      <w:r>
        <w:t xml:space="preserve"> </w:t>
      </w:r>
      <w:r>
        <w:rPr>
          <w:i/>
          <w:iCs/>
        </w:rPr>
        <w:t xml:space="preserve">Pain points:</w:t>
      </w:r>
      <w:r>
        <w:t xml:space="preserve"> </w:t>
      </w:r>
      <w:r>
        <w:t xml:space="preserve">cadaver scarcity, high anatomy-lab cost, poor spatial learning from 2D materials, delayed feedback, and instructor-scoring variance.</w:t>
      </w:r>
      <w:r>
        <w:t xml:space="preserve"> </w:t>
      </w:r>
      <w:r>
        <w:rPr>
          <w:i/>
          <w:iCs/>
        </w:rPr>
        <w:t xml:space="preserve">Solution architecture:</w:t>
      </w:r>
      <w:r>
        <w:t xml:space="preserve"> </w:t>
      </w:r>
      <w:r>
        <w:t xml:space="preserve">Meta Quest 3 and HoloLens 2-based anatomy immersion with layered dissection, real-time dynamic physiology, pathology simulation for 500+ disease states, multiplayer sessions, gaze-tracking support, predictive intervention for struggling students, conversational Q&amp;A, and haptic surgical simulation.</w:t>
      </w:r>
      <w:r>
        <w:t xml:space="preserve"> </w:t>
      </w:r>
      <w:r>
        <w:rPr>
          <w:i/>
          <w:iCs/>
        </w:rPr>
        <w:t xml:space="preserve">Technical differentiators:</w:t>
      </w:r>
      <w:r>
        <w:t xml:space="preserve"> </w:t>
      </w:r>
      <w:r>
        <w:t xml:space="preserve">the product combines immersive visualization, AI assessment, and predictive learner support rather than treating AR/VR as a standalone visualization tool.</w:t>
      </w:r>
      <w:r>
        <w:t xml:space="preserve"> </w:t>
      </w:r>
      <w:r>
        <w:rPr>
          <w:i/>
          <w:iCs/>
        </w:rPr>
        <w:t xml:space="preserve">Business impact:</w:t>
      </w:r>
      <w:r>
        <w:t xml:space="preserve"> </w:t>
      </w:r>
      <w:r>
        <w:t xml:space="preserve">78% improvement in knowledge retention, 60% lower per-student training cost over three years, 50% fewer complications in residents’ first ten procedures, and 70% lower faculty Q&amp;A load.</w:t>
      </w:r>
      <w:r>
        <w:t xml:space="preserve"> </w:t>
      </w:r>
      <w:r>
        <w:rPr>
          <w:i/>
          <w:iCs/>
        </w:rPr>
        <w:t xml:space="preserve">Team size and duration:</w:t>
      </w:r>
      <w:r>
        <w:t xml:space="preserve"> </w:t>
      </w:r>
      <w:r>
        <w:t xml:space="preserve">not stated; the portfolio frames the sales cycle as nine to twelve months, longer than operational AI products because procurement and curricular adoption are more complex. fileciteturn0file0 fileciteturn0file11</w:t>
      </w:r>
    </w:p>
    <w:p>
      <w:pPr>
        <w:pStyle w:val="BodyText"/>
      </w:pPr>
      <w:r>
        <w:rPr>
          <w:b/>
          <w:bCs/>
        </w:rPr>
        <w:t xml:space="preserve">MedCore Diagnostic Centre.</w:t>
      </w:r>
      <w:r>
        <w:t xml:space="preserve"> </w:t>
      </w:r>
      <w:r>
        <w:rPr>
          <w:i/>
          <w:iCs/>
        </w:rPr>
        <w:t xml:space="preserve">Client / stakeholder:</w:t>
      </w:r>
      <w:r>
        <w:t xml:space="preserve"> </w:t>
      </w:r>
      <w:r>
        <w:t xml:space="preserve">the diagnostic-centre client, patient-service staff, doctors, and patients.</w:t>
      </w:r>
      <w:r>
        <w:t xml:space="preserve"> </w:t>
      </w:r>
      <w:r>
        <w:rPr>
          <w:i/>
          <w:iCs/>
        </w:rPr>
        <w:t xml:space="preserve">Pain points:</w:t>
      </w:r>
      <w:r>
        <w:t xml:space="preserve"> </w:t>
      </w:r>
      <w:r>
        <w:t xml:space="preserve">manual appointment booking, absent self-service, paper reports, no patient portal, and uncertainty around MySoft integration.</w:t>
      </w:r>
      <w:r>
        <w:t xml:space="preserve"> </w:t>
      </w:r>
      <w:r>
        <w:rPr>
          <w:i/>
          <w:iCs/>
        </w:rPr>
        <w:t xml:space="preserve">Solution architecture:</w:t>
      </w:r>
      <w:r>
        <w:t xml:space="preserve"> </w:t>
      </w:r>
      <w:r>
        <w:t xml:space="preserve">a decoupled three-tier web architecture with Next.js/React frontend, Node.js/Express REST API, and PostgreSQL; 3-step booking; conflict prevention through database-level row locking; WhatsApp and email notifications; OTP login; report upload with time-limited QR links; EMR and prescription workflow; and basic AI diagnosis plus a Claude-powered public chatbot. The accompanying demo code confirms the intended portal, report, QR, admin, and OTP user journeys.</w:t>
      </w:r>
      <w:r>
        <w:t xml:space="preserve"> </w:t>
      </w:r>
      <w:r>
        <w:rPr>
          <w:i/>
          <w:iCs/>
        </w:rPr>
        <w:t xml:space="preserve">Technical differentiators:</w:t>
      </w:r>
      <w:r>
        <w:t xml:space="preserve"> </w:t>
      </w:r>
      <w:r>
        <w:t xml:space="preserve">phased rollout, explicit functional and non-functional requirements, MySoft parallel-run plus CSV fallback strategy, and clearly bounded AI disclaimers and doctor override.</w:t>
      </w:r>
      <w:r>
        <w:t xml:space="preserve"> </w:t>
      </w:r>
      <w:r>
        <w:rPr>
          <w:i/>
          <w:iCs/>
        </w:rPr>
        <w:t xml:space="preserve">Business impact:</w:t>
      </w:r>
      <w:r>
        <w:t xml:space="preserve"> </w:t>
      </w:r>
      <w:r>
        <w:t xml:space="preserve">60% reduction in staff scheduling workload, booking under three minutes, and portal adoption above 50% as a documented target.</w:t>
      </w:r>
      <w:r>
        <w:t xml:space="preserve"> </w:t>
      </w:r>
      <w:r>
        <w:rPr>
          <w:i/>
          <w:iCs/>
        </w:rPr>
        <w:t xml:space="preserve">Team size and duration:</w:t>
      </w:r>
      <w:r>
        <w:t xml:space="preserve"> </w:t>
      </w:r>
      <w:r>
        <w:t xml:space="preserve">five senior full-stack developers over an eight-week maximum timeline, with Phase 1 in weeks 1–5 and Phase 2 in weeks 4–8. fileciteturn0file4 fileciteturn0file5 fileciteturn0file11</w:t>
      </w:r>
    </w:p>
    <w:p>
      <w:pPr>
        <w:pStyle w:val="BodyText"/>
      </w:pPr>
      <w:r>
        <w:rPr>
          <w:b/>
          <w:bCs/>
        </w:rPr>
        <w:t xml:space="preserve">1-Tap App AI Chatbot.</w:t>
      </w:r>
      <w:r>
        <w:t xml:space="preserve"> </w:t>
      </w:r>
      <w:r>
        <w:rPr>
          <w:i/>
          <w:iCs/>
        </w:rPr>
        <w:t xml:space="preserve">Client / stakeholder:</w:t>
      </w:r>
      <w:r>
        <w:t xml:space="preserve"> </w:t>
      </w:r>
      <w:r>
        <w:t xml:space="preserve">1-Tap app users, customer-service teams, vendors, and service coordinators.</w:t>
      </w:r>
      <w:r>
        <w:t xml:space="preserve"> </w:t>
      </w:r>
      <w:r>
        <w:rPr>
          <w:i/>
          <w:iCs/>
        </w:rPr>
        <w:t xml:space="preserve">Pain points:</w:t>
      </w:r>
      <w:r>
        <w:t xml:space="preserve"> </w:t>
      </w:r>
      <w:r>
        <w:t xml:space="preserve">users needed assisted navigation across service categories, seamless booking, real-time status, and recommendations; manual support did not scale.</w:t>
      </w:r>
      <w:r>
        <w:t xml:space="preserve"> </w:t>
      </w:r>
      <w:r>
        <w:rPr>
          <w:i/>
          <w:iCs/>
        </w:rPr>
        <w:t xml:space="preserve">Solution architecture:</w:t>
      </w:r>
      <w:r>
        <w:t xml:space="preserve"> </w:t>
      </w:r>
      <w:r>
        <w:t xml:space="preserve">the Healthcare AI deck shows a retrieval-style architecture in which data is processed into vector embeddings, stored in a vector database, and queried by a chatbot engine/LLM layer before a response is returned to the user. The implementation roadmap sequences planning, data collection, embedding, retrieval, evaluation, app integration, deployment, and reinforcement learning from user feedback.</w:t>
      </w:r>
      <w:r>
        <w:t xml:space="preserve"> </w:t>
      </w:r>
      <w:r>
        <w:rPr>
          <w:i/>
          <w:iCs/>
        </w:rPr>
        <w:t xml:space="preserve">Technical differentiators:</w:t>
      </w:r>
      <w:r>
        <w:t xml:space="preserve"> </w:t>
      </w:r>
      <w:r>
        <w:t xml:space="preserve">the product is framed as platform-specific rather than generic, which reduces drift and improves backend grounding.</w:t>
      </w:r>
      <w:r>
        <w:t xml:space="preserve"> </w:t>
      </w:r>
      <w:r>
        <w:rPr>
          <w:i/>
          <w:iCs/>
        </w:rPr>
        <w:t xml:space="preserve">Business impact:</w:t>
      </w:r>
      <w:r>
        <w:t xml:space="preserve"> </w:t>
      </w:r>
      <w:r>
        <w:t xml:space="preserve">model accuracy at or above 85%, response time under three seconds, and user satisfaction above 90%.</w:t>
      </w:r>
      <w:r>
        <w:t xml:space="preserve"> </w:t>
      </w:r>
      <w:r>
        <w:rPr>
          <w:i/>
          <w:iCs/>
        </w:rPr>
        <w:t xml:space="preserve">Team size and duration:</w:t>
      </w:r>
      <w:r>
        <w:t xml:space="preserve"> </w:t>
      </w:r>
      <w:r>
        <w:t xml:space="preserve">a seven-function cross-functional team is defined, and the required time for MVP is stated as three to four months, with continuous fine-tuning extending beyond that. fileciteturn0file1 fileciteturn0file11</w:t>
      </w:r>
    </w:p>
    <w:p>
      <w:pPr>
        <w:pStyle w:val="BodyText"/>
      </w:pPr>
      <w:r>
        <w:rPr>
          <w:b/>
          <w:bCs/>
        </w:rPr>
        <w:t xml:space="preserve">HelloKhata.</w:t>
      </w:r>
      <w:r>
        <w:t xml:space="preserve"> </w:t>
      </w:r>
      <w:r>
        <w:rPr>
          <w:i/>
          <w:iCs/>
        </w:rPr>
        <w:t xml:space="preserve">Client / stakeholder:</w:t>
      </w:r>
      <w:r>
        <w:t xml:space="preserve"> </w:t>
      </w:r>
      <w:r>
        <w:t xml:space="preserve">Bangladeshi SME retailers, branch managers, and shop owners.</w:t>
      </w:r>
      <w:r>
        <w:t xml:space="preserve"> </w:t>
      </w:r>
      <w:r>
        <w:rPr>
          <w:i/>
          <w:iCs/>
        </w:rPr>
        <w:t xml:space="preserve">Pain points:</w:t>
      </w:r>
      <w:r>
        <w:t xml:space="preserve"> </w:t>
      </w:r>
      <w:r>
        <w:t xml:space="preserve">traditional ERP friction, the need for Bangla-first voice and text interaction, low-connectivity environments, and the high risk of AI corrupting financial state through hallucinated or sloppy write actions.</w:t>
      </w:r>
      <w:r>
        <w:t xml:space="preserve"> </w:t>
      </w:r>
      <w:r>
        <w:rPr>
          <w:i/>
          <w:iCs/>
        </w:rPr>
        <w:t xml:space="preserve">Solution architecture:</w:t>
      </w:r>
      <w:r>
        <w:t xml:space="preserve"> </w:t>
      </w:r>
      <w:r>
        <w:t xml:space="preserve">Next.js 16 frontend, TanStack Query and Axios data layer, Zustand state and offline queue, Web Speech API voice input, toolExecutor-based AI orchestration, Zod-validated tools, a confirmationGuard and rate limiter, circuit-breaker behavior, fuzzy matching against catalog entities, and draft-verify-commit semantics before any state-changing action is posted.</w:t>
      </w:r>
      <w:r>
        <w:t xml:space="preserve"> </w:t>
      </w:r>
      <w:r>
        <w:rPr>
          <w:i/>
          <w:iCs/>
        </w:rPr>
        <w:t xml:space="preserve">Technical differentiators:</w:t>
      </w:r>
      <w:r>
        <w:t xml:space="preserve"> </w:t>
      </w:r>
      <w:r>
        <w:t xml:space="preserve">this is the most explicit deterministic-agent design in the corpus, and it treats human confirmation as mandatory for financial writes.</w:t>
      </w:r>
      <w:r>
        <w:t xml:space="preserve"> </w:t>
      </w:r>
      <w:r>
        <w:rPr>
          <w:i/>
          <w:iCs/>
        </w:rPr>
        <w:t xml:space="preserve">Business impact:</w:t>
      </w:r>
      <w:r>
        <w:t xml:space="preserve"> </w:t>
      </w:r>
      <w:r>
        <w:t xml:space="preserve">the documents do not present measured production outcomes, but they do state a roadmap to reduce manual invoice entry by 90% via scan-and-populate OCR.</w:t>
      </w:r>
      <w:r>
        <w:t xml:space="preserve"> </w:t>
      </w:r>
      <w:r>
        <w:rPr>
          <w:i/>
          <w:iCs/>
        </w:rPr>
        <w:t xml:space="preserve">Team size and duration:</w:t>
      </w:r>
      <w:r>
        <w:t xml:space="preserve"> </w:t>
      </w:r>
      <w:r>
        <w:t xml:space="preserve">not specified. fileciteturn0file2</w:t>
      </w:r>
    </w:p>
    <w:p>
      <w:pPr>
        <w:pStyle w:val="BodyText"/>
      </w:pPr>
      <w:r>
        <w:rPr>
          <w:b/>
          <w:bCs/>
        </w:rPr>
        <w:t xml:space="preserve">Jotax Power BI and Automate Analytics.</w:t>
      </w:r>
      <w:r>
        <w:t xml:space="preserve"> </w:t>
      </w:r>
      <w:r>
        <w:rPr>
          <w:i/>
          <w:iCs/>
        </w:rPr>
        <w:t xml:space="preserve">Client / stakeholder:</w:t>
      </w:r>
      <w:r>
        <w:t xml:space="preserve"> </w:t>
      </w:r>
      <w:r>
        <w:t xml:space="preserve">a Finland-based finance and reporting environment.</w:t>
      </w:r>
      <w:r>
        <w:t xml:space="preserve"> </w:t>
      </w:r>
      <w:r>
        <w:rPr>
          <w:i/>
          <w:iCs/>
        </w:rPr>
        <w:t xml:space="preserve">Pain points:</w:t>
      </w:r>
      <w:r>
        <w:t xml:space="preserve"> </w:t>
      </w:r>
      <w:r>
        <w:t xml:space="preserve">fragmented Excel reporting, Finnish-only business logic, read-only Oracle access, and difficult calendar semantics including W53 logic.</w:t>
      </w:r>
      <w:r>
        <w:t xml:space="preserve"> </w:t>
      </w:r>
      <w:r>
        <w:rPr>
          <w:i/>
          <w:iCs/>
        </w:rPr>
        <w:t xml:space="preserve">Solution architecture:</w:t>
      </w:r>
      <w:r>
        <w:t xml:space="preserve"> </w:t>
      </w:r>
      <w:r>
        <w:t xml:space="preserve">four consolidated BI dashboards, 89 DAX measures, virtual relationships, Google Sheets relay for on-prem refresh, and bilingual semantic modeling.</w:t>
      </w:r>
      <w:r>
        <w:t xml:space="preserve"> </w:t>
      </w:r>
      <w:r>
        <w:rPr>
          <w:i/>
          <w:iCs/>
        </w:rPr>
        <w:t xml:space="preserve">Technical differentiators:</w:t>
      </w:r>
      <w:r>
        <w:t xml:space="preserve"> </w:t>
      </w:r>
      <w:r>
        <w:t xml:space="preserve">instead of emphasizing model novelty, this case emphasizes domain-localized business logic, interoperability under access constraints, and automation of fragile reporting routines.</w:t>
      </w:r>
      <w:r>
        <w:t xml:space="preserve"> </w:t>
      </w:r>
      <w:r>
        <w:rPr>
          <w:i/>
          <w:iCs/>
        </w:rPr>
        <w:t xml:space="preserve">Business impact:</w:t>
      </w:r>
      <w:r>
        <w:t xml:space="preserve"> </w:t>
      </w:r>
      <w:r>
        <w:t xml:space="preserve">80% less reporting time, elimination of 3–5% calculation errors, and €42K in quarterly variance removed.</w:t>
      </w:r>
      <w:r>
        <w:t xml:space="preserve"> </w:t>
      </w:r>
      <w:r>
        <w:rPr>
          <w:i/>
          <w:iCs/>
        </w:rPr>
        <w:t xml:space="preserve">Team size and duration:</w:t>
      </w:r>
      <w:r>
        <w:t xml:space="preserve"> </w:t>
      </w:r>
      <w:r>
        <w:t xml:space="preserve">not specified. fileciteturn0file11</w:t>
      </w:r>
    </w:p>
    <w:bookmarkEnd w:id="24"/>
    <w:bookmarkStart w:id="25" w:name="comparative-analysis"/>
    <w:p>
      <w:pPr>
        <w:pStyle w:val="Heading2"/>
      </w:pPr>
      <w:r>
        <w:t xml:space="preserve">Comparative Analysis</w:t>
      </w:r>
    </w:p>
    <w:p>
      <w:pPr>
        <w:pStyle w:val="FirstParagraph"/>
      </w:pPr>
      <w:r>
        <w:t xml:space="preserve">The most recurring architectural pattern is</w:t>
      </w:r>
      <w:r>
        <w:t xml:space="preserve"> </w:t>
      </w:r>
      <w:r>
        <w:rPr>
          <w:b/>
          <w:bCs/>
        </w:rPr>
        <w:t xml:space="preserve">guarded multimodality</w:t>
      </w:r>
      <w:r>
        <w:t xml:space="preserve">: text, image, and voice are accepted as input, but actions are rarely left to the model alone. Clinical systems add doctor verification, disclaimers, or escalation. Banking OCR adds confidence thresholds and maker-checker review. HelloKhata adds deterministic lookup, Zod validation, and confirm-before-commit semantics. Diagnostic-centre AI is bounded by doctor override and educational-only messaging. The second recurring pattern is</w:t>
      </w:r>
      <w:r>
        <w:t xml:space="preserve"> </w:t>
      </w:r>
      <w:r>
        <w:rPr>
          <w:b/>
          <w:bCs/>
        </w:rPr>
        <w:t xml:space="preserve">multilingual local adaptation</w:t>
      </w:r>
      <w:r>
        <w:t xml:space="preserve">—especially English, Bangla, and Banglish—which is treated as a product requirement, not a translation afterthought. The third is</w:t>
      </w:r>
      <w:r>
        <w:t xml:space="preserve"> </w:t>
      </w:r>
      <w:r>
        <w:rPr>
          <w:b/>
          <w:bCs/>
        </w:rPr>
        <w:t xml:space="preserve">workflow adjacency</w:t>
      </w:r>
      <w:r>
        <w:t xml:space="preserve">: every mature concept couples AI to scheduling, EHR/PACS/LIS, banking cores, POS/backends, dashboards, or admin panels. Pure “chatbot-only” thinking is notably absent from the most credible proposals. fileciteturn0file1 fileciteturn0file2 fileciteturn0file3 fileciteturn0file5 fileciteturn0file11</w:t>
      </w:r>
    </w:p>
    <w:p>
      <w:pPr>
        <w:pStyle w:val="SourceCode"/>
      </w:pPr>
      <w:r>
        <w:rPr>
          <w:rStyle w:val="VerbatimChar"/>
        </w:rPr>
        <w:t xml:space="preserve">Multimodal / Enterprise AI Pattern</w:t>
      </w:r>
      <w:r>
        <w:br/>
      </w:r>
      <w:r>
        <w:br/>
      </w:r>
      <w:r>
        <w:rPr>
          <w:rStyle w:val="VerbatimChar"/>
        </w:rPr>
        <w:t xml:space="preserve">Text / Voice / Image / Structured Data</w:t>
      </w:r>
      <w:r>
        <w:br/>
      </w:r>
      <w:r>
        <w:rPr>
          <w:rStyle w:val="VerbatimChar"/>
        </w:rPr>
        <w:t xml:space="preserve">                |</w:t>
      </w:r>
      <w:r>
        <w:br/>
      </w:r>
      <w:r>
        <w:rPr>
          <w:rStyle w:val="VerbatimChar"/>
        </w:rPr>
        <w:t xml:space="preserve">        Ingestion and Preprocessing</w:t>
      </w:r>
      <w:r>
        <w:br/>
      </w:r>
      <w:r>
        <w:rPr>
          <w:rStyle w:val="VerbatimChar"/>
        </w:rPr>
        <w:t xml:space="preserve">   (STT, OCR, ETL, embeddings, normalization)</w:t>
      </w:r>
      <w:r>
        <w:br/>
      </w:r>
      <w:r>
        <w:rPr>
          <w:rStyle w:val="VerbatimChar"/>
        </w:rPr>
        <w:t xml:space="preserve">                |</w:t>
      </w:r>
      <w:r>
        <w:br/>
      </w:r>
      <w:r>
        <w:rPr>
          <w:rStyle w:val="VerbatimChar"/>
        </w:rPr>
        <w:t xml:space="preserve">      Domain Models and Retrieval Layer</w:t>
      </w:r>
      <w:r>
        <w:br/>
      </w:r>
      <w:r>
        <w:rPr>
          <w:rStyle w:val="VerbatimChar"/>
        </w:rPr>
        <w:t xml:space="preserve">   (NLP, CV, rules, scoring, vector search)</w:t>
      </w:r>
      <w:r>
        <w:br/>
      </w:r>
      <w:r>
        <w:rPr>
          <w:rStyle w:val="VerbatimChar"/>
        </w:rPr>
        <w:t xml:space="preserve">                |</w:t>
      </w:r>
      <w:r>
        <w:br/>
      </w:r>
      <w:r>
        <w:rPr>
          <w:rStyle w:val="VerbatimChar"/>
        </w:rPr>
        <w:t xml:space="preserve">      Confidence and Policy Enforcement</w:t>
      </w:r>
      <w:r>
        <w:br/>
      </w:r>
      <w:r>
        <w:rPr>
          <w:rStyle w:val="VerbatimChar"/>
        </w:rPr>
        <w:t xml:space="preserve">(HITL review, doctor override, maker-checker,</w:t>
      </w:r>
      <w:r>
        <w:br/>
      </w:r>
      <w:r>
        <w:rPr>
          <w:rStyle w:val="VerbatimChar"/>
        </w:rPr>
        <w:t xml:space="preserve"> disclaimers, confirmation loops, rate limits)</w:t>
      </w:r>
      <w:r>
        <w:br/>
      </w:r>
      <w:r>
        <w:rPr>
          <w:rStyle w:val="VerbatimChar"/>
        </w:rPr>
        <w:t xml:space="preserve">                |</w:t>
      </w:r>
      <w:r>
        <w:br/>
      </w:r>
      <w:r>
        <w:rPr>
          <w:rStyle w:val="VerbatimChar"/>
        </w:rPr>
        <w:t xml:space="preserve">        Business-System Integration Layer</w:t>
      </w:r>
      <w:r>
        <w:br/>
      </w:r>
      <w:r>
        <w:rPr>
          <w:rStyle w:val="VerbatimChar"/>
        </w:rPr>
        <w:t xml:space="preserve">(EHR/PACS/LIS, CRM, CBS, portal, POS, dashboards)</w:t>
      </w:r>
      <w:r>
        <w:br/>
      </w:r>
      <w:r>
        <w:rPr>
          <w:rStyle w:val="VerbatimChar"/>
        </w:rPr>
        <w:t xml:space="preserve">                |</w:t>
      </w:r>
      <w:r>
        <w:br/>
      </w:r>
      <w:r>
        <w:rPr>
          <w:rStyle w:val="VerbatimChar"/>
        </w:rPr>
        <w:t xml:space="preserve">        Monitoring, Analytics, Feedback Loops</w:t>
      </w:r>
    </w:p>
    <w:p>
      <w:pPr>
        <w:pStyle w:val="FirstParagraph"/>
      </w:pPr>
      <w:r>
        <w:t xml:space="preserve">This generalized flow is supported by the LABAID GPT roadmap, the 1-Tap vector-search architecture, the diagnostic-centre SRS, the HelloKhata deterministic tool flow, and PrimeOCR’s confidence routing. fileciteturn0file1 fileciteturn0file2 fileciteturn0file5 fileciteturn0file11</w:t>
      </w:r>
    </w:p>
    <w:p>
      <w:pPr>
        <w:pStyle w:val="SourceCode"/>
      </w:pPr>
      <w:r>
        <w:rPr>
          <w:rStyle w:val="VerbatimChar"/>
        </w:rPr>
        <w:t xml:space="preserve">Deterministic Transaction Pattern</w:t>
      </w:r>
      <w:r>
        <w:br/>
      </w:r>
      <w:r>
        <w:br/>
      </w:r>
      <w:r>
        <w:rPr>
          <w:rStyle w:val="VerbatimChar"/>
        </w:rPr>
        <w:t xml:space="preserve">Voice / Text Request</w:t>
      </w:r>
      <w:r>
        <w:br/>
      </w:r>
      <w:r>
        <w:rPr>
          <w:rStyle w:val="VerbatimChar"/>
        </w:rPr>
        <w:t xml:space="preserve">        |</w:t>
      </w:r>
      <w:r>
        <w:br/>
      </w:r>
      <w:r>
        <w:rPr>
          <w:rStyle w:val="VerbatimChar"/>
        </w:rPr>
        <w:t xml:space="preserve">    Intent Parsing</w:t>
      </w:r>
      <w:r>
        <w:br/>
      </w:r>
      <w:r>
        <w:rPr>
          <w:rStyle w:val="VerbatimChar"/>
        </w:rPr>
        <w:t xml:space="preserve">        |</w:t>
      </w:r>
      <w:r>
        <w:br/>
      </w:r>
      <w:r>
        <w:rPr>
          <w:rStyle w:val="VerbatimChar"/>
        </w:rPr>
        <w:t xml:space="preserve">  Schema Validation</w:t>
      </w:r>
      <w:r>
        <w:br/>
      </w:r>
      <w:r>
        <w:rPr>
          <w:rStyle w:val="VerbatimChar"/>
        </w:rPr>
        <w:t xml:space="preserve">        |</w:t>
      </w:r>
      <w:r>
        <w:br/>
      </w:r>
      <w:r>
        <w:rPr>
          <w:rStyle w:val="VerbatimChar"/>
        </w:rPr>
        <w:t xml:space="preserve">Deterministic Lookup</w:t>
      </w:r>
      <w:r>
        <w:br/>
      </w:r>
      <w:r>
        <w:rPr>
          <w:rStyle w:val="VerbatimChar"/>
        </w:rPr>
        <w:t xml:space="preserve">(fuzzy match / entity resolution)</w:t>
      </w:r>
      <w:r>
        <w:br/>
      </w:r>
      <w:r>
        <w:rPr>
          <w:rStyle w:val="VerbatimChar"/>
        </w:rPr>
        <w:t xml:space="preserve">        |</w:t>
      </w:r>
      <w:r>
        <w:br/>
      </w:r>
      <w:r>
        <w:rPr>
          <w:rStyle w:val="VerbatimChar"/>
        </w:rPr>
        <w:t xml:space="preserve"> Human Confirmation</w:t>
      </w:r>
      <w:r>
        <w:br/>
      </w:r>
      <w:r>
        <w:rPr>
          <w:rStyle w:val="VerbatimChar"/>
        </w:rPr>
        <w:t xml:space="preserve">        |</w:t>
      </w:r>
      <w:r>
        <w:br/>
      </w:r>
      <w:r>
        <w:rPr>
          <w:rStyle w:val="VerbatimChar"/>
        </w:rPr>
        <w:t xml:space="preserve"> Commit or Queue</w:t>
      </w:r>
      <w:r>
        <w:br/>
      </w:r>
      <w:r>
        <w:rPr>
          <w:rStyle w:val="VerbatimChar"/>
        </w:rPr>
        <w:t xml:space="preserve">        |</w:t>
      </w:r>
      <w:r>
        <w:br/>
      </w:r>
      <w:r>
        <w:rPr>
          <w:rStyle w:val="VerbatimChar"/>
        </w:rPr>
        <w:t xml:space="preserve"> Sync / Audit / Recovery</w:t>
      </w:r>
    </w:p>
    <w:p>
      <w:pPr>
        <w:pStyle w:val="FirstParagraph"/>
      </w:pPr>
      <w:r>
        <w:t xml:space="preserve">This second pattern is especially visible in HelloKhata, but conceptually parallels PrimeOCR’s maker-checker workflow and the diagnostic-centre model of overrideable AI advice. fileciteturn0file2 fileciteturn0file5 fileciteturn0file11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Technical risk</w:t>
            </w:r>
          </w:p>
        </w:tc>
        <w:tc>
          <w:tcPr/>
          <w:p>
            <w:pPr>
              <w:pStyle w:val="Compact"/>
            </w:pPr>
            <w:r>
              <w:t xml:space="preserve">Where it appears</w:t>
            </w:r>
          </w:p>
        </w:tc>
        <w:tc>
          <w:tcPr/>
          <w:p>
            <w:pPr>
              <w:pStyle w:val="Compact"/>
            </w:pPr>
            <w:r>
              <w:t xml:space="preserve">Mitigation described in the documents</w:t>
            </w:r>
          </w:p>
        </w:tc>
      </w:tr>
      <w:tr>
        <w:tc>
          <w:tcPr/>
          <w:p>
            <w:pPr>
              <w:pStyle w:val="Compact"/>
            </w:pPr>
            <w:r>
              <w:t xml:space="preserve">Bangla handwriting and mixed-language OCR</w:t>
            </w:r>
          </w:p>
        </w:tc>
        <w:tc>
          <w:tcPr/>
          <w:p>
            <w:pPr>
              <w:pStyle w:val="Compact"/>
            </w:pPr>
            <w:r>
              <w:t xml:space="preserve">Prescription OCR, PrimeOCR</w:t>
            </w:r>
          </w:p>
        </w:tc>
        <w:tc>
          <w:tcPr/>
          <w:p>
            <w:pPr>
              <w:pStyle w:val="Compact"/>
            </w:pPr>
            <w:r>
              <w:t xml:space="preserve">Custom medical lexicon training, fallback OCR engines, confidence bands, and human review before commit. fileciteturn0file0 fileciteturn0file11</w:t>
            </w:r>
          </w:p>
        </w:tc>
      </w:tr>
      <w:tr>
        <w:tc>
          <w:tcPr/>
          <w:p>
            <w:pPr>
              <w:pStyle w:val="Compact"/>
            </w:pPr>
            <w:r>
              <w:t xml:space="preserve">AI hallucination in financial write actions</w:t>
            </w:r>
          </w:p>
        </w:tc>
        <w:tc>
          <w:tcPr/>
          <w:p>
            <w:pPr>
              <w:pStyle w:val="Compact"/>
            </w:pPr>
            <w:r>
              <w:t xml:space="preserve">HelloKhata</w:t>
            </w:r>
          </w:p>
        </w:tc>
        <w:tc>
          <w:tcPr/>
          <w:p>
            <w:pPr>
              <w:pStyle w:val="Compact"/>
            </w:pPr>
            <w:r>
              <w:t xml:space="preserve">Draft-confirm-commit, Zod schemas, deterministic lookup, circuit breaker, confirmation UI, rate limiting. fileciteturn0file2</w:t>
            </w:r>
          </w:p>
        </w:tc>
      </w:tr>
      <w:tr>
        <w:tc>
          <w:tcPr/>
          <w:p>
            <w:pPr>
              <w:pStyle w:val="Compact"/>
            </w:pPr>
            <w:r>
              <w:t xml:space="preserve">Low-connectivity or offline operation</w:t>
            </w:r>
          </w:p>
        </w:tc>
        <w:tc>
          <w:tcPr/>
          <w:p>
            <w:pPr>
              <w:pStyle w:val="Compact"/>
            </w:pPr>
            <w:r>
              <w:t xml:space="preserve">HelloKhata, field-service style retail</w:t>
            </w:r>
          </w:p>
        </w:tc>
        <w:tc>
          <w:tcPr/>
          <w:p>
            <w:pPr>
              <w:pStyle w:val="Compact"/>
            </w:pPr>
            <w:r>
              <w:t xml:space="preserve">Offline queue store and synchronization when connectivity returns. fileciteturn0file2</w:t>
            </w:r>
          </w:p>
        </w:tc>
      </w:tr>
      <w:tr>
        <w:tc>
          <w:tcPr/>
          <w:p>
            <w:pPr>
              <w:pStyle w:val="Compact"/>
            </w:pPr>
            <w:r>
              <w:t xml:space="preserve">On-prem deployment and audit/compliance constraints</w:t>
            </w:r>
          </w:p>
        </w:tc>
        <w:tc>
          <w:tcPr/>
          <w:p>
            <w:pPr>
              <w:pStyle w:val="Compact"/>
            </w:pPr>
            <w:r>
              <w:t xml:space="preserve">PrimeOCR, banking</w:t>
            </w:r>
          </w:p>
        </w:tc>
        <w:tc>
          <w:tcPr/>
          <w:p>
            <w:pPr>
              <w:pStyle w:val="Compact"/>
            </w:pPr>
            <w:r>
              <w:t xml:space="preserve">Containerization, maker-checker, immutable audit logs, REST-only integration boundaries. fileciteturn0file11</w:t>
            </w:r>
          </w:p>
        </w:tc>
      </w:tr>
      <w:tr>
        <w:tc>
          <w:tcPr/>
          <w:p>
            <w:pPr>
              <w:pStyle w:val="Compact"/>
            </w:pPr>
            <w:r>
              <w:t xml:space="preserve">Medical safety and escalation</w:t>
            </w:r>
          </w:p>
        </w:tc>
        <w:tc>
          <w:tcPr/>
          <w:p>
            <w:pPr>
              <w:pStyle w:val="Compact"/>
            </w:pPr>
            <w:r>
              <w:t xml:space="preserve">Cancer chatbot guide, MedCore, medical AI systems</w:t>
            </w:r>
          </w:p>
        </w:tc>
        <w:tc>
          <w:tcPr/>
          <w:p>
            <w:pPr>
              <w:pStyle w:val="Compact"/>
            </w:pPr>
            <w:r>
              <w:t xml:space="preserve">Staged deployment, clinician oversight, escalation triggers, medical disclaimer, doctor override, content review. fileciteturn0file3 fileciteturn0file5</w:t>
            </w:r>
          </w:p>
        </w:tc>
      </w:tr>
      <w:tr>
        <w:tc>
          <w:tcPr/>
          <w:p>
            <w:pPr>
              <w:pStyle w:val="Compact"/>
            </w:pPr>
            <w:r>
              <w:t xml:space="preserve">Legacy-system uncertainty</w:t>
            </w:r>
          </w:p>
        </w:tc>
        <w:tc>
          <w:tcPr/>
          <w:p>
            <w:pPr>
              <w:pStyle w:val="Compact"/>
            </w:pPr>
            <w:r>
              <w:t xml:space="preserve">MedCore/MySoft, enterprise back-office contexts</w:t>
            </w:r>
          </w:p>
        </w:tc>
        <w:tc>
          <w:tcPr/>
          <w:p>
            <w:pPr>
              <w:pStyle w:val="Compact"/>
            </w:pPr>
            <w:r>
              <w:t xml:space="preserve">Parallel run, CSV fallback, phased API integration, time-limited scope boundaries. fileciteturn0file5</w:t>
            </w:r>
          </w:p>
        </w:tc>
      </w:tr>
      <w:tr>
        <w:tc>
          <w:tcPr/>
          <w:p>
            <w:pPr>
              <w:pStyle w:val="Compact"/>
            </w:pPr>
            <w:r>
              <w:t xml:space="preserve">Local dialect STT and term ambiguity</w:t>
            </w:r>
          </w:p>
        </w:tc>
        <w:tc>
          <w:tcPr/>
          <w:p>
            <w:pPr>
              <w:pStyle w:val="Compact"/>
            </w:pPr>
            <w:r>
              <w:t xml:space="preserve">HelloKhata, LUNA, 1-Tap</w:t>
            </w:r>
          </w:p>
        </w:tc>
        <w:tc>
          <w:tcPr/>
          <w:p>
            <w:pPr>
              <w:pStyle w:val="Compact"/>
            </w:pPr>
            <w:r>
              <w:t xml:space="preserve">Bazaar-Bangla LoRA recommendation, context dictionaries, TTS read-back confirmation, BN/EN/Banglish semantics. fileciteturn0file1 fileciteturn0file2</w:t>
            </w:r>
          </w:p>
        </w:tc>
      </w:tr>
      <w:tr>
        <w:tc>
          <w:tcPr/>
          <w:p>
            <w:pPr>
              <w:pStyle w:val="Compact"/>
            </w:pPr>
            <w:r>
              <w:t xml:space="preserve">Domain-specific calendar and business rules</w:t>
            </w:r>
          </w:p>
        </w:tc>
        <w:tc>
          <w:tcPr/>
          <w:p>
            <w:pPr>
              <w:pStyle w:val="Compact"/>
            </w:pPr>
            <w:r>
              <w:t xml:space="preserve">Jotax</w:t>
            </w:r>
          </w:p>
        </w:tc>
        <w:tc>
          <w:tcPr/>
          <w:p>
            <w:pPr>
              <w:pStyle w:val="Compact"/>
            </w:pPr>
            <w:r>
              <w:t xml:space="preserve">Custom week-numbering logic and bilingual semantic layer. fileciteturn0file11</w:t>
            </w:r>
          </w:p>
        </w:tc>
      </w:tr>
    </w:tbl>
    <w:p>
      <w:pPr>
        <w:pStyle w:val="BodyText"/>
      </w:pPr>
      <w:r>
        <w:t xml:space="preserve">The maturity/readiness picture is uneven but interpretable. Products with explicit integrations, fallback logic, and current-status descriptions are strongest. Products with strong architectures but no stated deployment remain one step earlier. Proposal-stage systems often already have mature risk mitigation, which is a positive sign even when rollout is pending. fileciteturn0file1 fileciteturn0file2 fileciteturn0file5 fileciteturn0file11</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Service</w:t>
            </w:r>
          </w:p>
        </w:tc>
        <w:tc>
          <w:tcPr/>
          <w:p>
            <w:pPr>
              <w:pStyle w:val="Compact"/>
            </w:pPr>
            <w:r>
              <w:t xml:space="preserve">Technical readiness</w:t>
            </w:r>
          </w:p>
        </w:tc>
        <w:tc>
          <w:tcPr/>
          <w:p>
            <w:pPr>
              <w:pStyle w:val="Compact"/>
            </w:pPr>
            <w:r>
              <w:t xml:space="preserve">Operational readiness</w:t>
            </w:r>
          </w:p>
        </w:tc>
        <w:tc>
          <w:tcPr/>
          <w:p>
            <w:pPr>
              <w:pStyle w:val="Compact"/>
            </w:pPr>
            <w:r>
              <w:t xml:space="preserve">Commercial readiness</w:t>
            </w:r>
          </w:p>
        </w:tc>
        <w:tc>
          <w:tcPr/>
          <w:p>
            <w:pPr>
              <w:pStyle w:val="Compact"/>
            </w:pPr>
            <w:r>
              <w:t xml:space="preserve">Readiness note</w:t>
            </w:r>
          </w:p>
        </w:tc>
      </w:tr>
      <w:tr>
        <w:tc>
          <w:tcPr/>
          <w:p>
            <w:pPr>
              <w:pStyle w:val="Compact"/>
            </w:pPr>
            <w:r>
              <w:t xml:space="preserve">LABAID GPT</w:t>
            </w:r>
          </w:p>
        </w:tc>
        <w:tc>
          <w:tcPr/>
          <w:p>
            <w:pPr>
              <w:pStyle w:val="Compact"/>
            </w:pPr>
            <w:r>
              <w:t xml:space="preserve">High</w:t>
            </w:r>
          </w:p>
        </w:tc>
        <w:tc>
          <w:tcPr/>
          <w:p>
            <w:pPr>
              <w:pStyle w:val="Compact"/>
            </w:pPr>
            <w:r>
              <w:t xml:space="preserve">Medium</w:t>
            </w:r>
          </w:p>
        </w:tc>
        <w:tc>
          <w:tcPr/>
          <w:p>
            <w:pPr>
              <w:pStyle w:val="Compact"/>
            </w:pPr>
            <w:r>
              <w:t xml:space="preserve">Medium</w:t>
            </w:r>
          </w:p>
        </w:tc>
        <w:tc>
          <w:tcPr/>
          <w:p>
            <w:pPr>
              <w:pStyle w:val="Compact"/>
            </w:pPr>
            <w:r>
              <w:t xml:space="preserve">Current-status materials show OCR, API, GUI, STT/TTS, and multiple agents, but formal clinical-scale deployment evidence is still limited in the corpus. fileciteturn0file1 fileciteturn0file11</w:t>
            </w:r>
          </w:p>
        </w:tc>
      </w:tr>
      <w:tr>
        <w:tc>
          <w:tcPr/>
          <w:p>
            <w:pPr>
              <w:pStyle w:val="Compact"/>
            </w:pPr>
            <w:r>
              <w:t xml:space="preserve">Medical LUNA</w:t>
            </w:r>
          </w:p>
        </w:tc>
        <w:tc>
          <w:tcPr/>
          <w:p>
            <w:pPr>
              <w:pStyle w:val="Compact"/>
            </w:pPr>
            <w:r>
              <w:t xml:space="preserve">High</w:t>
            </w:r>
          </w:p>
        </w:tc>
        <w:tc>
          <w:tcPr/>
          <w:p>
            <w:pPr>
              <w:pStyle w:val="Compact"/>
            </w:pPr>
            <w:r>
              <w:t xml:space="preserve">Medium</w:t>
            </w:r>
          </w:p>
        </w:tc>
        <w:tc>
          <w:tcPr/>
          <w:p>
            <w:pPr>
              <w:pStyle w:val="Compact"/>
            </w:pPr>
            <w:r>
              <w:t xml:space="preserve">Medium</w:t>
            </w:r>
          </w:p>
        </w:tc>
        <w:tc>
          <w:tcPr/>
          <w:p>
            <w:pPr>
              <w:pStyle w:val="Compact"/>
            </w:pPr>
            <w:r>
              <w:t xml:space="preserve">Live or MVP across healthcare sub-services, with broader product-family packaging still evolving. fileciteturn0file1 fileciteturn0file11</w:t>
            </w:r>
          </w:p>
        </w:tc>
      </w:tr>
      <w:tr>
        <w:tc>
          <w:tcPr/>
          <w:p>
            <w:pPr>
              <w:pStyle w:val="Compact"/>
            </w:pPr>
            <w:r>
              <w:t xml:space="preserve">LUNA multi-domain</w:t>
            </w:r>
          </w:p>
        </w:tc>
        <w:tc>
          <w:tcPr/>
          <w:p>
            <w:pPr>
              <w:pStyle w:val="Compact"/>
            </w:pPr>
            <w:r>
              <w:t xml:space="preserve">Medium to high</w:t>
            </w:r>
          </w:p>
        </w:tc>
        <w:tc>
          <w:tcPr/>
          <w:p>
            <w:pPr>
              <w:pStyle w:val="Compact"/>
            </w:pPr>
            <w:r>
              <w:t xml:space="preserve">Medium</w:t>
            </w:r>
          </w:p>
        </w:tc>
        <w:tc>
          <w:tcPr/>
          <w:p>
            <w:pPr>
              <w:pStyle w:val="Compact"/>
            </w:pPr>
            <w:r>
              <w:t xml:space="preserve">Medium to high</w:t>
            </w:r>
          </w:p>
        </w:tc>
        <w:tc>
          <w:tcPr/>
          <w:p>
            <w:pPr>
              <w:pStyle w:val="Compact"/>
            </w:pPr>
            <w:r>
              <w:t xml:space="preserve">Strong vertical breadth and current-status signals, but outcomes are pooled across verticals rather than reported by deployment. fileciteturn0file1 fileciteturn0file11</w:t>
            </w:r>
          </w:p>
        </w:tc>
      </w:tr>
      <w:tr>
        <w:tc>
          <w:tcPr/>
          <w:p>
            <w:pPr>
              <w:pStyle w:val="Compact"/>
            </w:pPr>
            <w:r>
              <w:t xml:space="preserve">MedCore</w:t>
            </w:r>
          </w:p>
        </w:tc>
        <w:tc>
          <w:tcPr/>
          <w:p>
            <w:pPr>
              <w:pStyle w:val="Compact"/>
            </w:pPr>
            <w:r>
              <w:t xml:space="preserve">Medium to high</w:t>
            </w:r>
          </w:p>
        </w:tc>
        <w:tc>
          <w:tcPr/>
          <w:p>
            <w:pPr>
              <w:pStyle w:val="Compact"/>
            </w:pPr>
            <w:r>
              <w:t xml:space="preserve">Medium</w:t>
            </w:r>
          </w:p>
        </w:tc>
        <w:tc>
          <w:tcPr/>
          <w:p>
            <w:pPr>
              <w:pStyle w:val="Compact"/>
            </w:pPr>
            <w:r>
              <w:t xml:space="preserve">Medium</w:t>
            </w:r>
          </w:p>
        </w:tc>
        <w:tc>
          <w:tcPr/>
          <w:p>
            <w:pPr>
              <w:pStyle w:val="Compact"/>
            </w:pPr>
            <w:r>
              <w:t xml:space="preserve">SRS, demo, budget, timeline, and architecture are unusually concrete; main gating issues are adoption, MySoft integration, and production rollout of AI features. fileciteturn0file4 fileciteturn0file5</w:t>
            </w:r>
          </w:p>
        </w:tc>
      </w:tr>
      <w:tr>
        <w:tc>
          <w:tcPr/>
          <w:p>
            <w:pPr>
              <w:pStyle w:val="Compact"/>
            </w:pPr>
            <w:r>
              <w:t xml:space="preserve">Medical AI Assistant</w:t>
            </w:r>
          </w:p>
        </w:tc>
        <w:tc>
          <w:tcPr/>
          <w:p>
            <w:pPr>
              <w:pStyle w:val="Compact"/>
            </w:pPr>
            <w:r>
              <w:t xml:space="preserve">Medium to high</w:t>
            </w:r>
          </w:p>
        </w:tc>
        <w:tc>
          <w:tcPr/>
          <w:p>
            <w:pPr>
              <w:pStyle w:val="Compact"/>
            </w:pPr>
            <w:r>
              <w:t xml:space="preserve">Medium</w:t>
            </w:r>
          </w:p>
        </w:tc>
        <w:tc>
          <w:tcPr/>
          <w:p>
            <w:pPr>
              <w:pStyle w:val="Compact"/>
            </w:pPr>
            <w:r>
              <w:t xml:space="preserve">Medium</w:t>
            </w:r>
          </w:p>
        </w:tc>
        <w:tc>
          <w:tcPr/>
          <w:p>
            <w:pPr>
              <w:pStyle w:val="Compact"/>
            </w:pPr>
            <w:r>
              <w:t xml:space="preserve">Strong case-study metrics and clear integrations, but presented more as a portfolio archetype than a named deployed product. fileciteturn0file0 fileciteturn0file11</w:t>
            </w:r>
          </w:p>
        </w:tc>
      </w:tr>
      <w:tr>
        <w:tc>
          <w:tcPr/>
          <w:p>
            <w:pPr>
              <w:pStyle w:val="Compact"/>
            </w:pPr>
            <w:r>
              <w:t xml:space="preserve">1-Tap</w:t>
            </w:r>
          </w:p>
        </w:tc>
        <w:tc>
          <w:tcPr/>
          <w:p>
            <w:pPr>
              <w:pStyle w:val="Compact"/>
            </w:pPr>
            <w:r>
              <w:t xml:space="preserve">Medium</w:t>
            </w:r>
          </w:p>
        </w:tc>
        <w:tc>
          <w:tcPr/>
          <w:p>
            <w:pPr>
              <w:pStyle w:val="Compact"/>
            </w:pPr>
            <w:r>
              <w:t xml:space="preserve">Medium</w:t>
            </w:r>
          </w:p>
        </w:tc>
        <w:tc>
          <w:tcPr/>
          <w:p>
            <w:pPr>
              <w:pStyle w:val="Compact"/>
            </w:pPr>
            <w:r>
              <w:t xml:space="preserve">Medium</w:t>
            </w:r>
          </w:p>
        </w:tc>
        <w:tc>
          <w:tcPr/>
          <w:p>
            <w:pPr>
              <w:pStyle w:val="Compact"/>
            </w:pPr>
            <w:r>
              <w:t xml:space="preserve">MVP duration, architecture, team roles, and KPI targets are clear; scale depends on continued fine-tuning and partner data. fileciteturn0file1</w:t>
            </w:r>
          </w:p>
        </w:tc>
      </w:tr>
      <w:tr>
        <w:tc>
          <w:tcPr/>
          <w:p>
            <w:pPr>
              <w:pStyle w:val="Compact"/>
            </w:pPr>
            <w:r>
              <w:t xml:space="preserve">HelloKhata</w:t>
            </w:r>
          </w:p>
        </w:tc>
        <w:tc>
          <w:tcPr/>
          <w:p>
            <w:pPr>
              <w:pStyle w:val="Compact"/>
            </w:pPr>
            <w:r>
              <w:t xml:space="preserve">Medium</w:t>
            </w:r>
          </w:p>
        </w:tc>
        <w:tc>
          <w:tcPr/>
          <w:p>
            <w:pPr>
              <w:pStyle w:val="Compact"/>
            </w:pPr>
            <w:r>
              <w:t xml:space="preserve">Low to medium</w:t>
            </w:r>
          </w:p>
        </w:tc>
        <w:tc>
          <w:tcPr/>
          <w:p>
            <w:pPr>
              <w:pStyle w:val="Compact"/>
            </w:pPr>
            <w:r>
              <w:t xml:space="preserve">Medium</w:t>
            </w:r>
          </w:p>
        </w:tc>
        <w:tc>
          <w:tcPr/>
          <w:p>
            <w:pPr>
              <w:pStyle w:val="Compact"/>
            </w:pPr>
            <w:r>
              <w:t xml:space="preserve">The architecture is sophisticated, but measured deployment evidence is absent; dialect data and invoice OCR are key next steps. fileciteturn0file2</w:t>
            </w:r>
          </w:p>
        </w:tc>
      </w:tr>
      <w:tr>
        <w:tc>
          <w:tcPr/>
          <w:p>
            <w:pPr>
              <w:pStyle w:val="Compact"/>
            </w:pPr>
            <w:r>
              <w:t xml:space="preserve">PrimeOCR</w:t>
            </w:r>
          </w:p>
        </w:tc>
        <w:tc>
          <w:tcPr/>
          <w:p>
            <w:pPr>
              <w:pStyle w:val="Compact"/>
            </w:pPr>
            <w:r>
              <w:t xml:space="preserve">Medium</w:t>
            </w:r>
          </w:p>
        </w:tc>
        <w:tc>
          <w:tcPr/>
          <w:p>
            <w:pPr>
              <w:pStyle w:val="Compact"/>
            </w:pPr>
            <w:r>
              <w:t xml:space="preserve">Medium</w:t>
            </w:r>
          </w:p>
        </w:tc>
        <w:tc>
          <w:tcPr/>
          <w:p>
            <w:pPr>
              <w:pStyle w:val="Compact"/>
            </w:pPr>
            <w:r>
              <w:t xml:space="preserve">Low to medium</w:t>
            </w:r>
          </w:p>
        </w:tc>
        <w:tc>
          <w:tcPr/>
          <w:p>
            <w:pPr>
              <w:pStyle w:val="Compact"/>
            </w:pPr>
            <w:r>
              <w:t xml:space="preserve">Excellent operational controls are specified, but the corpus still presents it as proposal/in-development rather than fully live. fileciteturn0file11</w:t>
            </w:r>
          </w:p>
        </w:tc>
      </w:tr>
      <w:tr>
        <w:tc>
          <w:tcPr/>
          <w:p>
            <w:pPr>
              <w:pStyle w:val="Compact"/>
            </w:pPr>
            <w:r>
              <w:t xml:space="preserve">Project Eugenia</w:t>
            </w:r>
          </w:p>
        </w:tc>
        <w:tc>
          <w:tcPr/>
          <w:p>
            <w:pPr>
              <w:pStyle w:val="Compact"/>
            </w:pPr>
            <w:r>
              <w:t xml:space="preserve">Medium</w:t>
            </w:r>
          </w:p>
        </w:tc>
        <w:tc>
          <w:tcPr/>
          <w:p>
            <w:pPr>
              <w:pStyle w:val="Compact"/>
            </w:pPr>
            <w:r>
              <w:t xml:space="preserve">Low</w:t>
            </w:r>
          </w:p>
        </w:tc>
        <w:tc>
          <w:tcPr/>
          <w:p>
            <w:pPr>
              <w:pStyle w:val="Compact"/>
            </w:pPr>
            <w:r>
              <w:t xml:space="preserve">Low</w:t>
            </w:r>
          </w:p>
        </w:tc>
        <w:tc>
          <w:tcPr/>
          <w:p>
            <w:pPr>
              <w:pStyle w:val="Compact"/>
            </w:pPr>
            <w:r>
              <w:t xml:space="preserve">Models and data sources are well-defined, but benefits are explicitly projected and the effort remains at proposal/PoC level. fileciteturn0file11</w:t>
            </w:r>
          </w:p>
        </w:tc>
      </w:tr>
      <w:tr>
        <w:tc>
          <w:tcPr/>
          <w:p>
            <w:pPr>
              <w:pStyle w:val="Compact"/>
            </w:pPr>
            <w:r>
              <w:t xml:space="preserve">Medical LMS</w:t>
            </w:r>
          </w:p>
        </w:tc>
        <w:tc>
          <w:tcPr/>
          <w:p>
            <w:pPr>
              <w:pStyle w:val="Compact"/>
            </w:pPr>
            <w:r>
              <w:t xml:space="preserve">Medium</w:t>
            </w:r>
          </w:p>
        </w:tc>
        <w:tc>
          <w:tcPr/>
          <w:p>
            <w:pPr>
              <w:pStyle w:val="Compact"/>
            </w:pPr>
            <w:r>
              <w:t xml:space="preserve">Medium</w:t>
            </w:r>
          </w:p>
        </w:tc>
        <w:tc>
          <w:tcPr/>
          <w:p>
            <w:pPr>
              <w:pStyle w:val="Compact"/>
            </w:pPr>
            <w:r>
              <w:t xml:space="preserve">Medium</w:t>
            </w:r>
          </w:p>
        </w:tc>
        <w:tc>
          <w:tcPr/>
          <w:p>
            <w:pPr>
              <w:pStyle w:val="Compact"/>
            </w:pPr>
            <w:r>
              <w:t xml:space="preserve">Use cases and impact claims are rich, but the documents do not lay out a delivery program with the same concreteness seen in MedCore. fileciteturn0file0 fileciteturn0file11</w:t>
            </w:r>
          </w:p>
        </w:tc>
      </w:tr>
      <w:tr>
        <w:tc>
          <w:tcPr/>
          <w:p>
            <w:pPr>
              <w:pStyle w:val="Compact"/>
            </w:pPr>
            <w:r>
              <w:t xml:space="preserve">Jotax</w:t>
            </w:r>
          </w:p>
        </w:tc>
        <w:tc>
          <w:tcPr/>
          <w:p>
            <w:pPr>
              <w:pStyle w:val="Compact"/>
            </w:pPr>
            <w:r>
              <w:t xml:space="preserve">High</w:t>
            </w:r>
          </w:p>
        </w:tc>
        <w:tc>
          <w:tcPr/>
          <w:p>
            <w:pPr>
              <w:pStyle w:val="Compact"/>
            </w:pPr>
            <w:r>
              <w:t xml:space="preserve">High</w:t>
            </w:r>
          </w:p>
        </w:tc>
        <w:tc>
          <w:tcPr/>
          <w:p>
            <w:pPr>
              <w:pStyle w:val="Compact"/>
            </w:pPr>
            <w:r>
              <w:t xml:space="preserve">High</w:t>
            </w:r>
          </w:p>
        </w:tc>
        <w:tc>
          <w:tcPr/>
          <w:p>
            <w:pPr>
              <w:pStyle w:val="Compact"/>
            </w:pPr>
            <w:r>
              <w:t xml:space="preserve">This is the clearest delivered analytics outcome in the corpus, with concrete operational pain points and quantified savings. fileciteturn0file11</w:t>
            </w:r>
          </w:p>
        </w:tc>
      </w:tr>
    </w:tbl>
    <w:p>
      <w:pPr>
        <w:pStyle w:val="BodyText"/>
      </w:pPr>
      <w:r>
        <w:t xml:space="preserve">The strongest synergies are straightforward and commercially plausible. The medical prescription OCR engine can be adapted into banking and insurance document intake because the underlying challenge is the same: mixed-quality scanned inputs, high error cost, and required review gates. PrimeOCR’s maker-checker pattern can, in turn, strengthen medical prescription verification and report-ingestion workflows. LUNA is the most obvious shared front-end layer: it can serve as the conversational shell for MedCore, LABAID GPT, 1-Tap, and even customer-facing slices of Project Eugenia or HelloKhata. HelloKhata’s deterministic agent guardrails are directly reusable in banking and clinical operations whenever an LLM is allowed to initiate state-changing actions. The cancer chatbot guide contributes a reusable governance pattern—ontology management, escalation, content approval, clinician oversight, staged deployment, and continuous improvement—that can harden all regulated deployments. Finally, the analytics and dashboarding logic seen in Jotax and MedCore can serve as the shared observability plane for the broader AI portfolio. fileciteturn0file2 fileciteturn0file3 fileciteturn0file4 fileciteturn0file5 fileciteturn0file11</w:t>
      </w:r>
    </w:p>
    <w:p>
      <w:pPr>
        <w:pStyle w:val="BodyText"/>
      </w:pPr>
      <w:r>
        <w:t xml:space="preserve">The business context suggests two near-term expansion plays. The first is</w:t>
      </w:r>
      <w:r>
        <w:t xml:space="preserve"> </w:t>
      </w:r>
      <w:r>
        <w:rPr>
          <w:b/>
          <w:bCs/>
        </w:rPr>
        <w:t xml:space="preserve">operational AI with clear ROI windows</w:t>
      </w:r>
      <w:r>
        <w:t xml:space="preserve">—contact-centre deflection, appointment automation, banking form extraction, and retail copilot actions—because these have shorter sales or delivery cycles and directly measurable savings. The portfolio PDF explicitly assigns shorter cycles to the Voice Assistant family than to the Medical LMS, while the diagnostic-centre and 1-Tap materials give concrete MVP timelines of eight weeks and three to four months respectively. The second is</w:t>
      </w:r>
      <w:r>
        <w:t xml:space="preserve"> </w:t>
      </w:r>
      <w:r>
        <w:rPr>
          <w:b/>
          <w:bCs/>
        </w:rPr>
        <w:t xml:space="preserve">regulated-domain acceleration through supervised autonomy</w:t>
      </w:r>
      <w:r>
        <w:t xml:space="preserve">: LABAID GPT, MedCore, PrimeOCR, and the cancer-chatbot blueprint all show that buyers are more likely to approve systems that accelerate humans than replace them. fileciteturn0file0 fileciteturn0file1 fileciteturn0file3 fileciteturn0file5</w:t>
      </w:r>
    </w:p>
    <w:p>
      <w:pPr>
        <w:pStyle w:val="BodyText"/>
      </w:pPr>
      <w:r>
        <w:t xml:space="preserve">The main lessons learned from the corpus are consistent. First, AI succeeds when anchored to a workflow, not when detached as a generic assistant. Second, multilingual and multimodal support only becomes reliable with domain lexicons, local-language data, and explicit error-correction loops. Third, regulated or high-stakes domains need progressive autonomy: confidence scoring, override paths, human review, and audit trails. Fourth, integration uncertainty should be designed around early, with phased rollouts and CSV or queue-based fallbacks. Fifth, portfolio materials are strongest when they clearly separate measured impact from target or projected impact; that discipline should be preserved in future versions of the catalog. fileciteturn0file1 fileciteturn0file2 fileciteturn0file3 fileciteturn0file5 fileciteturn0file11</w:t>
      </w:r>
    </w:p>
    <w:bookmarkEnd w:id="25"/>
    <w:bookmarkStart w:id="26" w:name="appendix"/>
    <w:p>
      <w:pPr>
        <w:pStyle w:val="Heading2"/>
      </w:pPr>
      <w:r>
        <w:t xml:space="preserve">Appendix</w:t>
      </w:r>
    </w:p>
    <w:p>
      <w:pPr>
        <w:pStyle w:val="FirstParagraph"/>
      </w:pPr>
      <w:r>
        <w:t xml:space="preserve">The glossary below captures the recurring concepts that appear across the uploaded materials, especially in the healthcare, banking, retail, and platform-architecture documents. The definitions are aligned to how the terms are used in the corpus. fileciteturn0file0 fileciteturn0file1 fileciteturn0file2 fileciteturn0file3 fileciteturn0file5 fileciteturn0file11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Meaning in this portfolio context</w:t>
            </w:r>
          </w:p>
        </w:tc>
      </w:tr>
      <w:tr>
        <w:tc>
          <w:tcPr/>
          <w:p>
            <w:pPr>
              <w:pStyle w:val="Compact"/>
            </w:pPr>
            <w:r>
              <w:t xml:space="preserve">OCR / ICR</w:t>
            </w:r>
          </w:p>
        </w:tc>
        <w:tc>
          <w:tcPr/>
          <w:p>
            <w:pPr>
              <w:pStyle w:val="Compact"/>
            </w:pPr>
            <w:r>
              <w:t xml:space="preserve">Automated extraction of printed or handwritten text from scanned documents such as prescriptions or banking forms.</w:t>
            </w:r>
          </w:p>
        </w:tc>
      </w:tr>
      <w:tr>
        <w:tc>
          <w:tcPr/>
          <w:p>
            <w:pPr>
              <w:pStyle w:val="Compact"/>
            </w:pPr>
            <w:r>
              <w:t xml:space="preserve">HITL</w:t>
            </w:r>
          </w:p>
        </w:tc>
        <w:tc>
          <w:tcPr/>
          <w:p>
            <w:pPr>
              <w:pStyle w:val="Compact"/>
            </w:pPr>
            <w:r>
              <w:t xml:space="preserve">Human-in-the-loop review, usually triggered by low confidence, regulatory need, or risk-sensitive output.</w:t>
            </w:r>
          </w:p>
        </w:tc>
      </w:tr>
      <w:tr>
        <w:tc>
          <w:tcPr/>
          <w:p>
            <w:pPr>
              <w:pStyle w:val="Compact"/>
            </w:pPr>
            <w:r>
              <w:t xml:space="preserve">PACS</w:t>
            </w:r>
          </w:p>
        </w:tc>
        <w:tc>
          <w:tcPr/>
          <w:p>
            <w:pPr>
              <w:pStyle w:val="Compact"/>
            </w:pPr>
            <w:r>
              <w:t xml:space="preserve">Picture Archiving and Communication System used for radiology images and image workflows.</w:t>
            </w:r>
          </w:p>
        </w:tc>
      </w:tr>
      <w:tr>
        <w:tc>
          <w:tcPr/>
          <w:p>
            <w:pPr>
              <w:pStyle w:val="Compact"/>
            </w:pPr>
            <w:r>
              <w:t xml:space="preserve">EHR / EMR</w:t>
            </w:r>
          </w:p>
        </w:tc>
        <w:tc>
          <w:tcPr/>
          <w:p>
            <w:pPr>
              <w:pStyle w:val="Compact"/>
            </w:pPr>
            <w:r>
              <w:t xml:space="preserve">Electronic health-record systems used for patient data, visits, results, and care workflows.</w:t>
            </w:r>
          </w:p>
        </w:tc>
      </w:tr>
      <w:tr>
        <w:tc>
          <w:tcPr/>
          <w:p>
            <w:pPr>
              <w:pStyle w:val="Compact"/>
            </w:pPr>
            <w:r>
              <w:t xml:space="preserve">HL7 / FHIR</w:t>
            </w:r>
          </w:p>
        </w:tc>
        <w:tc>
          <w:tcPr/>
          <w:p>
            <w:pPr>
              <w:pStyle w:val="Compact"/>
            </w:pPr>
            <w:r>
              <w:t xml:space="preserve">Healthcare interoperability patterns for exchanging structured clinical information.</w:t>
            </w:r>
          </w:p>
        </w:tc>
      </w:tr>
      <w:tr>
        <w:tc>
          <w:tcPr/>
          <w:p>
            <w:pPr>
              <w:pStyle w:val="Compact"/>
            </w:pPr>
            <w:r>
              <w:t xml:space="preserve">MEWS</w:t>
            </w:r>
          </w:p>
        </w:tc>
        <w:tc>
          <w:tcPr/>
          <w:p>
            <w:pPr>
              <w:pStyle w:val="Compact"/>
            </w:pPr>
            <w:r>
              <w:t xml:space="preserve">Modified Early Warning Score, used here for severity scoring in symptom-triage workflows.</w:t>
            </w:r>
          </w:p>
        </w:tc>
      </w:tr>
      <w:tr>
        <w:tc>
          <w:tcPr/>
          <w:p>
            <w:pPr>
              <w:pStyle w:val="Compact"/>
            </w:pPr>
            <w:r>
              <w:t xml:space="preserve">ASR / STT</w:t>
            </w:r>
          </w:p>
        </w:tc>
        <w:tc>
          <w:tcPr/>
          <w:p>
            <w:pPr>
              <w:pStyle w:val="Compact"/>
            </w:pPr>
            <w:r>
              <w:t xml:space="preserve">Automatic speech recognition / speech-to-text.</w:t>
            </w:r>
          </w:p>
        </w:tc>
      </w:tr>
      <w:tr>
        <w:tc>
          <w:tcPr/>
          <w:p>
            <w:pPr>
              <w:pStyle w:val="Compact"/>
            </w:pPr>
            <w:r>
              <w:t xml:space="preserve">TTS</w:t>
            </w:r>
          </w:p>
        </w:tc>
        <w:tc>
          <w:tcPr/>
          <w:p>
            <w:pPr>
              <w:pStyle w:val="Compact"/>
            </w:pPr>
            <w:r>
              <w:t xml:space="preserve">Text-to-speech for voice feedback, accessibility, or confirmation loops.</w:t>
            </w:r>
          </w:p>
        </w:tc>
      </w:tr>
      <w:tr>
        <w:tc>
          <w:tcPr/>
          <w:p>
            <w:pPr>
              <w:pStyle w:val="Compact"/>
            </w:pPr>
            <w:r>
              <w:t xml:space="preserve">Vector DB / embeddings</w:t>
            </w:r>
          </w:p>
        </w:tc>
        <w:tc>
          <w:tcPr/>
          <w:p>
            <w:pPr>
              <w:pStyle w:val="Compact"/>
            </w:pPr>
            <w:r>
              <w:t xml:space="preserve">Retrieval architecture used to ground LLM responses on domain data, as in 1-Tap.</w:t>
            </w:r>
          </w:p>
        </w:tc>
      </w:tr>
      <w:tr>
        <w:tc>
          <w:tcPr/>
          <w:p>
            <w:pPr>
              <w:pStyle w:val="Compact"/>
            </w:pPr>
            <w:r>
              <w:t xml:space="preserve">LoRA / PEFT</w:t>
            </w:r>
          </w:p>
        </w:tc>
        <w:tc>
          <w:tcPr/>
          <w:p>
            <w:pPr>
              <w:pStyle w:val="Compact"/>
            </w:pPr>
            <w:r>
              <w:t xml:space="preserve">Parameter-efficient fine-tuning methods appearing in the LABAID GPT roadmap and local-language adaptation ideas.</w:t>
            </w:r>
          </w:p>
        </w:tc>
      </w:tr>
      <w:tr>
        <w:tc>
          <w:tcPr/>
          <w:p>
            <w:pPr>
              <w:pStyle w:val="Compact"/>
            </w:pPr>
            <w:r>
              <w:t xml:space="preserve">RBAC</w:t>
            </w:r>
          </w:p>
        </w:tc>
        <w:tc>
          <w:tcPr/>
          <w:p>
            <w:pPr>
              <w:pStyle w:val="Compact"/>
            </w:pPr>
            <w:r>
              <w:t xml:space="preserve">Role-based access control, used in diagnostic-centre and enterprise admin workflows.</w:t>
            </w:r>
          </w:p>
        </w:tc>
      </w:tr>
      <w:tr>
        <w:tc>
          <w:tcPr/>
          <w:p>
            <w:pPr>
              <w:pStyle w:val="Compact"/>
            </w:pPr>
            <w:r>
              <w:t xml:space="preserve">Maker-checker</w:t>
            </w:r>
          </w:p>
        </w:tc>
        <w:tc>
          <w:tcPr/>
          <w:p>
            <w:pPr>
              <w:pStyle w:val="Compact"/>
            </w:pPr>
            <w:r>
              <w:t xml:space="preserve">Dual-control review pattern frequently used in banking and applicable to other regulated workflows.</w:t>
            </w:r>
          </w:p>
        </w:tc>
      </w:tr>
      <w:tr>
        <w:tc>
          <w:tcPr/>
          <w:p>
            <w:pPr>
              <w:pStyle w:val="Compact"/>
            </w:pPr>
            <w:r>
              <w:t xml:space="preserve">DAX</w:t>
            </w:r>
          </w:p>
        </w:tc>
        <w:tc>
          <w:tcPr/>
          <w:p>
            <w:pPr>
              <w:pStyle w:val="Compact"/>
            </w:pPr>
            <w:r>
              <w:t xml:space="preserve">Power BI expression language used in the Jotax analytics solution.</w:t>
            </w:r>
          </w:p>
        </w:tc>
      </w:tr>
    </w:tbl>
    <w:p>
      <w:pPr>
        <w:pStyle w:val="BodyText"/>
      </w:pPr>
      <w:r>
        <w:t xml:space="preserve">The technology-stack references are especially useful because they reveal where the portfolio is standardized versus experimental. Web stacks gravitate toward Next.js/React or Angular, APIs toward Node.js/Express/NestJS/FastAPI, core data toward PostgreSQL and object storage, and AI layers toward OpenAI/GPT-class models, Groq/Llama-class inference, OCR engines, and specialized orchestration or MLOps tools. Healthcare and regulated products add enterprise integration patterns, while experiential products add AR/VR and haptics. fileciteturn0file1 fileciteturn0file2 fileciteturn0file5 fileciteturn0file11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Stack component</w:t>
            </w:r>
          </w:p>
        </w:tc>
        <w:tc>
          <w:tcPr/>
          <w:p>
            <w:pPr>
              <w:pStyle w:val="Compact"/>
            </w:pPr>
            <w:r>
              <w:t xml:space="preserve">Explicit references in the documents</w:t>
            </w:r>
          </w:p>
        </w:tc>
        <w:tc>
          <w:tcPr/>
          <w:p>
            <w:pPr>
              <w:pStyle w:val="Compact"/>
            </w:pPr>
            <w:r>
              <w:t xml:space="preserve">Where it appears</w:t>
            </w:r>
          </w:p>
        </w:tc>
      </w:tr>
      <w:tr>
        <w:tc>
          <w:tcPr/>
          <w:p>
            <w:pPr>
              <w:pStyle w:val="Compact"/>
            </w:pPr>
            <w:r>
              <w:t xml:space="preserve">Frontend frameworks</w:t>
            </w:r>
          </w:p>
        </w:tc>
        <w:tc>
          <w:tcPr/>
          <w:p>
            <w:pPr>
              <w:pStyle w:val="Compact"/>
            </w:pPr>
            <w:r>
              <w:t xml:space="preserve">Next.js 14/16, React 18, Angular 17+, Tailwind CSS</w:t>
            </w:r>
          </w:p>
        </w:tc>
        <w:tc>
          <w:tcPr/>
          <w:p>
            <w:pPr>
              <w:pStyle w:val="Compact"/>
            </w:pPr>
            <w:r>
              <w:t xml:space="preserve">MedCore, SRS, HelloKhata, PrimeOCR. fileciteturn0file2 fileciteturn0file5 fileciteturn0file11</w:t>
            </w:r>
          </w:p>
        </w:tc>
      </w:tr>
      <w:tr>
        <w:tc>
          <w:tcPr/>
          <w:p>
            <w:pPr>
              <w:pStyle w:val="Compact"/>
            </w:pPr>
            <w:r>
              <w:t xml:space="preserve">Backend and APIs</w:t>
            </w:r>
          </w:p>
        </w:tc>
        <w:tc>
          <w:tcPr/>
          <w:p>
            <w:pPr>
              <w:pStyle w:val="Compact"/>
            </w:pPr>
            <w:r>
              <w:t xml:space="preserve">Node.js, Express, NestJS, FastAPI, REST APIs</w:t>
            </w:r>
          </w:p>
        </w:tc>
        <w:tc>
          <w:tcPr/>
          <w:p>
            <w:pPr>
              <w:pStyle w:val="Compact"/>
            </w:pPr>
            <w:r>
              <w:t xml:space="preserve">MedCore, PrimeOCR, Project Eugenia, LABAID platform docs. fileciteturn0file5 fileciteturn0file6 fileciteturn0file11</w:t>
            </w:r>
          </w:p>
        </w:tc>
      </w:tr>
      <w:tr>
        <w:tc>
          <w:tcPr/>
          <w:p>
            <w:pPr>
              <w:pStyle w:val="Compact"/>
            </w:pPr>
            <w:r>
              <w:t xml:space="preserve">Data stores and messaging</w:t>
            </w:r>
          </w:p>
        </w:tc>
        <w:tc>
          <w:tcPr/>
          <w:p>
            <w:pPr>
              <w:pStyle w:val="Compact"/>
            </w:pPr>
            <w:r>
              <w:t xml:space="preserve">PostgreSQL, MinIO, RabbitMQ, MongoDB, Redis, AWS S3, vector DBs</w:t>
            </w:r>
          </w:p>
        </w:tc>
        <w:tc>
          <w:tcPr/>
          <w:p>
            <w:pPr>
              <w:pStyle w:val="Compact"/>
            </w:pPr>
            <w:r>
              <w:t xml:space="preserve">PrimeOCR, LABAID env docs, 1-Tap, MedCore. fileciteturn0file1 fileciteturn0file6 fileciteturn0file11</w:t>
            </w:r>
          </w:p>
        </w:tc>
      </w:tr>
      <w:tr>
        <w:tc>
          <w:tcPr/>
          <w:p>
            <w:pPr>
              <w:pStyle w:val="Compact"/>
            </w:pPr>
            <w:r>
              <w:t xml:space="preserve">AI and model layer</w:t>
            </w:r>
          </w:p>
        </w:tc>
        <w:tc>
          <w:tcPr/>
          <w:p>
            <w:pPr>
              <w:pStyle w:val="Compact"/>
            </w:pPr>
            <w:r>
              <w:t xml:space="preserve">GPT-4V, Groq/Llama 3, Claude, LLaMA 3.2 Vision, Tesseract, Whisper-like STT, Google TTS</w:t>
            </w:r>
          </w:p>
        </w:tc>
        <w:tc>
          <w:tcPr/>
          <w:p>
            <w:pPr>
              <w:pStyle w:val="Compact"/>
            </w:pPr>
            <w:r>
              <w:t xml:space="preserve">LABAID GPT, MedCore, PrimeOCR, LUNA, portfolio cases. fileciteturn0file0 fileciteturn0file1 fileciteturn0file11</w:t>
            </w:r>
          </w:p>
        </w:tc>
      </w:tr>
      <w:tr>
        <w:tc>
          <w:tcPr/>
          <w:p>
            <w:pPr>
              <w:pStyle w:val="Compact"/>
            </w:pPr>
            <w:r>
              <w:t xml:space="preserve">Enterprise and domain integrations</w:t>
            </w:r>
          </w:p>
        </w:tc>
        <w:tc>
          <w:tcPr/>
          <w:p>
            <w:pPr>
              <w:pStyle w:val="Compact"/>
            </w:pPr>
            <w:r>
              <w:t xml:space="preserve">PACS, EHR/EMR, HL7/FHIR, Temenos/Finacle-class CBS, MySoft, Twilio, SendGrid</w:t>
            </w:r>
          </w:p>
        </w:tc>
        <w:tc>
          <w:tcPr/>
          <w:p>
            <w:pPr>
              <w:pStyle w:val="Compact"/>
            </w:pPr>
            <w:r>
              <w:t xml:space="preserve">Medical AI Assistant, LABAID GPT, PrimeOCR, MedCore. fileciteturn0file0 fileciteturn0file5 fileciteturn0file11</w:t>
            </w:r>
          </w:p>
        </w:tc>
      </w:tr>
      <w:tr>
        <w:tc>
          <w:tcPr/>
          <w:p>
            <w:pPr>
              <w:pStyle w:val="Compact"/>
            </w:pPr>
            <w:r>
              <w:t xml:space="preserve">ML and analytics tooling</w:t>
            </w:r>
          </w:p>
        </w:tc>
        <w:tc>
          <w:tcPr/>
          <w:p>
            <w:pPr>
              <w:pStyle w:val="Compact"/>
            </w:pPr>
            <w:r>
              <w:t xml:space="preserve">scikit-learn, XGBoost, Isolation Forest, Random Forest, Power BI, DAX</w:t>
            </w:r>
          </w:p>
        </w:tc>
        <w:tc>
          <w:tcPr/>
          <w:p>
            <w:pPr>
              <w:pStyle w:val="Compact"/>
            </w:pPr>
            <w:r>
              <w:t xml:space="preserve">Project Eugenia, Jotax, predictive modules. fileciteturn0file11</w:t>
            </w:r>
          </w:p>
        </w:tc>
      </w:tr>
      <w:tr>
        <w:tc>
          <w:tcPr/>
          <w:p>
            <w:pPr>
              <w:pStyle w:val="Compact"/>
            </w:pPr>
            <w:r>
              <w:t xml:space="preserve">Immersive and simulation tooling</w:t>
            </w:r>
          </w:p>
        </w:tc>
        <w:tc>
          <w:tcPr/>
          <w:p>
            <w:pPr>
              <w:pStyle w:val="Compact"/>
            </w:pPr>
            <w:r>
              <w:t xml:space="preserve">Unity, C#, Meta Quest 3, HoloLens 2, haptic controllers</w:t>
            </w:r>
          </w:p>
        </w:tc>
        <w:tc>
          <w:tcPr/>
          <w:p>
            <w:pPr>
              <w:pStyle w:val="Compact"/>
            </w:pPr>
            <w:r>
              <w:t xml:space="preserve">Medical LMS and surgical simulation. fileciteturn0file0 fileciteturn0file11</w:t>
            </w:r>
          </w:p>
        </w:tc>
      </w:tr>
    </w:tbl>
    <w:bookmarkEnd w:id="26"/>
    <w:bookmarkEnd w:id="27"/>
    <w:bookmarkEnd w:id="28"/>
    <w:p>
      <w:r>
        <w:pict>
          <v:rect style="width:0;height:1.5pt" o:hralign="center" o:hrstd="t" o:hr="t"/>
        </w:pict>
      </w:r>
    </w:p>
    <w:bookmarkStart w:id="29" w:name="citations"/>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2026-05-06T13:41:34Z</dcterms:created>
  <dcterms:modified xsi:type="dcterms:W3CDTF">2026-05-06T13:41:34Z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