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894" w:rsidRDefault="00F26894">
      <w:pPr>
        <w:jc w:val="center"/>
        <w:rPr>
          <w:b/>
          <w:bCs/>
          <w:color w:val="1F4E79"/>
          <w:sz w:val="52"/>
        </w:rPr>
      </w:pPr>
      <w:r w:rsidRPr="00F26894">
        <w:rPr>
          <w:b/>
          <w:bCs/>
          <w:color w:val="1F4E79"/>
          <w:sz w:val="52"/>
        </w:rPr>
        <w:t>Enterprise Financial Platform for MFS, Digital Banking &amp; Payments</w:t>
      </w:r>
    </w:p>
    <w:p w:rsidR="00024102" w:rsidRDefault="00E01B46">
      <w:pPr>
        <w:jc w:val="center"/>
      </w:pPr>
      <w:r>
        <w:rPr>
          <w:b/>
          <w:color w:val="0F766E"/>
          <w:sz w:val="30"/>
        </w:rPr>
        <w:t>Board-Style Technical Product Overview Report</w:t>
      </w:r>
    </w:p>
    <w:p w:rsidR="00024102" w:rsidRDefault="00E01B46">
      <w:pPr>
        <w:spacing w:before="160"/>
        <w:jc w:val="center"/>
      </w:pPr>
      <w:r>
        <w:rPr>
          <w:color w:val="505A64"/>
        </w:rPr>
        <w:t>Technical Architecture | Operational Model | Deployment Strategy | Ownership Model | Platform Maturity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board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1: Board-level platform summary</w:t>
      </w:r>
    </w:p>
    <w:p w:rsidR="00024102" w:rsidRDefault="00E01B46">
      <w:pPr>
        <w:jc w:val="center"/>
      </w:pPr>
      <w:r>
        <w:rPr>
          <w:color w:val="505A64"/>
          <w:sz w:val="18"/>
        </w:rPr>
        <w:t xml:space="preserve">Scope: MFS, Digital </w:t>
      </w:r>
      <w:r>
        <w:rPr>
          <w:color w:val="505A64"/>
          <w:sz w:val="18"/>
        </w:rPr>
        <w:t>Banking, Payment Gateway, Wallet Infrastructure, Compliance Operations, and Future Blockchain Enablement</w:t>
      </w:r>
    </w:p>
    <w:p w:rsidR="00024102" w:rsidRDefault="00E01B46">
      <w:r>
        <w:br w:type="page"/>
      </w:r>
      <w:bookmarkStart w:id="0" w:name="_GoBack"/>
      <w:bookmarkEnd w:id="0"/>
    </w:p>
    <w:p w:rsidR="00024102" w:rsidRDefault="00E01B46">
      <w:pPr>
        <w:pStyle w:val="Heading1"/>
      </w:pPr>
      <w:r>
        <w:lastRenderedPageBreak/>
        <w:t>Table of Contents</w:t>
      </w:r>
    </w:p>
    <w:p w:rsidR="00024102" w:rsidRDefault="00E01B46">
      <w:pPr>
        <w:pStyle w:val="ListNumber"/>
      </w:pPr>
      <w:r>
        <w:t>1. Executive Summary</w:t>
      </w:r>
    </w:p>
    <w:p w:rsidR="00024102" w:rsidRDefault="00E01B46">
      <w:pPr>
        <w:pStyle w:val="ListNumber"/>
      </w:pPr>
      <w:r>
        <w:t>2. Platform Overview</w:t>
      </w:r>
    </w:p>
    <w:p w:rsidR="00024102" w:rsidRDefault="00E01B46">
      <w:pPr>
        <w:pStyle w:val="ListNumber"/>
      </w:pPr>
      <w:r>
        <w:t>3. Technical Architecture</w:t>
      </w:r>
    </w:p>
    <w:p w:rsidR="00024102" w:rsidRDefault="00E01B46">
      <w:pPr>
        <w:pStyle w:val="ListNumber"/>
      </w:pPr>
      <w:r>
        <w:t>4. Operational Model</w:t>
      </w:r>
    </w:p>
    <w:p w:rsidR="00024102" w:rsidRDefault="00E01B46">
      <w:pPr>
        <w:pStyle w:val="ListNumber"/>
      </w:pPr>
      <w:r>
        <w:t>5. Deployment Strategy</w:t>
      </w:r>
    </w:p>
    <w:p w:rsidR="00024102" w:rsidRDefault="00E01B46">
      <w:pPr>
        <w:pStyle w:val="ListNumber"/>
      </w:pPr>
      <w:r>
        <w:t>6. Ownership Model</w:t>
      </w:r>
    </w:p>
    <w:p w:rsidR="00024102" w:rsidRDefault="00E01B46">
      <w:pPr>
        <w:pStyle w:val="ListNumber"/>
      </w:pPr>
      <w:r>
        <w:t>7. Platform Maturity and Future Scope</w:t>
      </w:r>
    </w:p>
    <w:p w:rsidR="00024102" w:rsidRDefault="00E01B46">
      <w:pPr>
        <w:pStyle w:val="ListNumber"/>
      </w:pPr>
      <w:r>
        <w:t>8. Board-Level Conclusion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1. Executive Summary</w:t>
      </w:r>
    </w:p>
    <w:p w:rsidR="00024102" w:rsidRDefault="00E01B46">
      <w:r>
        <w:t>This report presents a board-style technical product overview of a modular financial services platform built around digital wallet, payments, KYC/KYB, compliance screeni</w:t>
      </w:r>
      <w:r>
        <w:t>ng, ledger accounting, support operations, administrative control, deployment readiness, and future blockchain enablement.</w:t>
      </w:r>
    </w:p>
    <w:p w:rsidR="00024102" w:rsidRDefault="00E01B46">
      <w:r>
        <w:t>The platform can be positioned as a global-ready, API-driven fintech foundation suitable for Mobile Financial Services (MFS), digital</w:t>
      </w:r>
      <w:r>
        <w:t xml:space="preserve"> banking, payment gateway operations, wallet-led financial services, embedded finance, and future blockchain-enabled financial infrastructure.</w:t>
      </w:r>
    </w:p>
    <w:p w:rsidR="00024102" w:rsidRDefault="00E01B46">
      <w:pPr>
        <w:pStyle w:val="Heading2"/>
      </w:pPr>
      <w:r>
        <w:t>1.1 Strategic Positioning</w:t>
      </w:r>
    </w:p>
    <w:p w:rsidR="00024102" w:rsidRDefault="00E01B46">
      <w:pPr>
        <w:pStyle w:val="ListBullet"/>
        <w:spacing w:after="20"/>
      </w:pPr>
      <w:r>
        <w:t>A unified backend for wallet, payments, compliance, accounting, support, and administra</w:t>
      </w:r>
      <w:r>
        <w:t>tion.</w:t>
      </w:r>
    </w:p>
    <w:p w:rsidR="00024102" w:rsidRDefault="00E01B46">
      <w:pPr>
        <w:pStyle w:val="ListBullet"/>
        <w:spacing w:after="20"/>
      </w:pPr>
      <w:r>
        <w:t>A reusable platform core that can be configured according to client requirements.</w:t>
      </w:r>
    </w:p>
    <w:p w:rsidR="00024102" w:rsidRDefault="00E01B46">
      <w:pPr>
        <w:pStyle w:val="ListBullet"/>
        <w:spacing w:after="20"/>
      </w:pPr>
      <w:r>
        <w:t>A modular product foundation for MFS, digital banking, payment gateway, and merchant payout use cases.</w:t>
      </w:r>
    </w:p>
    <w:p w:rsidR="00024102" w:rsidRDefault="00E01B46">
      <w:pPr>
        <w:pStyle w:val="ListBullet"/>
        <w:spacing w:after="20"/>
      </w:pPr>
      <w:r>
        <w:t>A future-ready architecture with expansion potential for tokenize</w:t>
      </w:r>
      <w:r>
        <w:t>d payment, blockchain settlement, and hybrid financial flows.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24102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Platform Positioning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Primary value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Reusable fintech platform core for multiple client-facing financial service models.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Technical identity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 xml:space="preserve">NestJS, PostgreSQL, TypeORM, Redis, Docker, </w:t>
            </w:r>
            <w:r>
              <w:rPr>
                <w:sz w:val="18"/>
              </w:rPr>
              <w:t>cloud-ready deployment assets.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Commercial fit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MFS, digital wallet, digital banking, payment gateway, merchant payout, and compliance-driven fintech.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Future direction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Blockchain enablement, tokenized wallet models, smart contract automation, and hybrid fi</w:t>
            </w:r>
            <w:r>
              <w:rPr>
                <w:sz w:val="18"/>
              </w:rPr>
              <w:t>at/digital asset flows.</w:t>
            </w:r>
          </w:p>
        </w:tc>
      </w:tr>
    </w:tbl>
    <w:p w:rsidR="00024102" w:rsidRDefault="00024102"/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2. Platform Overview</w:t>
      </w:r>
    </w:p>
    <w:p w:rsidR="00024102" w:rsidRDefault="00E01B46">
      <w:r>
        <w:t xml:space="preserve">The platform is structured as an end-to-end financial technology foundation. It combines customer access, identity verification, wallet infrastructure, transaction processing, accounting control, compliance </w:t>
      </w:r>
      <w:r>
        <w:t>review, support operations, and cloud deployment readiness into one extensible backend.</w:t>
      </w:r>
    </w:p>
    <w:p w:rsidR="00024102" w:rsidRDefault="00E01B46">
      <w:pPr>
        <w:pStyle w:val="Heading2"/>
      </w:pPr>
      <w:r>
        <w:t>2.1 Core Product Domains</w:t>
      </w:r>
    </w:p>
    <w:p w:rsidR="00024102" w:rsidRDefault="00E01B46">
      <w:pPr>
        <w:pStyle w:val="ListBullet"/>
        <w:spacing w:after="20"/>
      </w:pPr>
      <w:r>
        <w:t>Authentication and user management for secure customer and admin access.</w:t>
      </w:r>
    </w:p>
    <w:p w:rsidR="00024102" w:rsidRDefault="00E01B46">
      <w:pPr>
        <w:pStyle w:val="ListBullet"/>
        <w:spacing w:after="20"/>
      </w:pPr>
      <w:r>
        <w:t>Wallet and balance management for stored-value account operations.</w:t>
      </w:r>
    </w:p>
    <w:p w:rsidR="00024102" w:rsidRDefault="00E01B46">
      <w:pPr>
        <w:pStyle w:val="ListBullet"/>
        <w:spacing w:after="20"/>
      </w:pPr>
      <w:r>
        <w:t>Pay</w:t>
      </w:r>
      <w:r>
        <w:t>ments and payout processing for incoming and outgoing money movement.</w:t>
      </w:r>
    </w:p>
    <w:p w:rsidR="00024102" w:rsidRDefault="00E01B46">
      <w:pPr>
        <w:pStyle w:val="ListBullet"/>
        <w:spacing w:after="20"/>
      </w:pPr>
      <w:r>
        <w:t>Ledger and accounting workflows for financial traceability and operational control.</w:t>
      </w:r>
    </w:p>
    <w:p w:rsidR="00024102" w:rsidRDefault="00E01B46">
      <w:pPr>
        <w:pStyle w:val="ListBullet"/>
        <w:spacing w:after="20"/>
      </w:pPr>
      <w:r>
        <w:t>KYC/KYB onboarding and sanctions screening for compliance-ready customer lifecycle management.</w:t>
      </w:r>
    </w:p>
    <w:p w:rsidR="00024102" w:rsidRDefault="00E01B46">
      <w:pPr>
        <w:pStyle w:val="ListBullet"/>
        <w:spacing w:after="20"/>
      </w:pPr>
      <w:r>
        <w:t>Support</w:t>
      </w:r>
      <w:r>
        <w:t>, ticketing, audit logs, event logs, and admin operations for platform governance.</w:t>
      </w:r>
    </w:p>
    <w:p w:rsidR="00024102" w:rsidRDefault="00E01B46">
      <w:pPr>
        <w:pStyle w:val="ListBullet"/>
        <w:spacing w:after="20"/>
      </w:pPr>
      <w:r>
        <w:t>Deployment and infrastructure assets for cloud-based implementation and operational rollout.</w:t>
      </w:r>
    </w:p>
    <w:p w:rsidR="00024102" w:rsidRDefault="00E01B46">
      <w:pPr>
        <w:pStyle w:val="Heading2"/>
      </w:pPr>
      <w:r>
        <w:t>2.2 Product Conversion Potential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24102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Platform Positioning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MFS platform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Cu</w:t>
            </w:r>
            <w:r>
              <w:rPr>
                <w:sz w:val="18"/>
              </w:rPr>
              <w:t>stomer wallets, top-up, transfers, payouts, KYC, support, and operational administration.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Digital banking core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Customer onboarding, wallet/account infrastructure, ledger, compliance, audit, and lifecycle control.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Payment gateway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 xml:space="preserve">Payment instructions, </w:t>
            </w:r>
            <w:r>
              <w:rPr>
                <w:sz w:val="18"/>
              </w:rPr>
              <w:t>provider transactions, webhook events, fee calculation, payouts, and merchant operations.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Compliance fintech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KYC/KYB, sanctions screening, risk scoring, review decisions, audit trail, and case handling.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Blockchain-ready fintech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Future expansion toward to</w:t>
            </w:r>
            <w:r>
              <w:rPr>
                <w:sz w:val="18"/>
              </w:rPr>
              <w:t>kenized payment, smart contract automation, and on-chain settlement use cases.</w:t>
            </w:r>
          </w:p>
        </w:tc>
      </w:tr>
    </w:tbl>
    <w:p w:rsidR="00024102" w:rsidRDefault="00024102"/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3. Technical Architecture</w:t>
      </w:r>
    </w:p>
    <w:p w:rsidR="00024102" w:rsidRDefault="00E01B46">
      <w:r>
        <w:t>The technical architecture follows a modular API-driven design. Each business capability is separated into a dedicated application domain, while sh</w:t>
      </w:r>
      <w:r>
        <w:t>ared infrastructure components support persistence, caching, document storage, provider integration, notifications, and auditability.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2: Layered technical architecture</w:t>
      </w:r>
    </w:p>
    <w:p w:rsidR="00024102" w:rsidRDefault="00E01B46">
      <w:pPr>
        <w:pStyle w:val="Heading2"/>
      </w:pPr>
      <w:r>
        <w:t>3.1 Architecture Layers</w:t>
      </w:r>
    </w:p>
    <w:p w:rsidR="00024102" w:rsidRDefault="00E01B46">
      <w:pPr>
        <w:pStyle w:val="ListBullet"/>
        <w:spacing w:after="20"/>
      </w:pPr>
      <w:r>
        <w:t>Client Access Layer: mobile application, web applicatio</w:t>
      </w:r>
      <w:r>
        <w:t>n, admin portal, and partner or merchant API clients.</w:t>
      </w:r>
    </w:p>
    <w:p w:rsidR="00024102" w:rsidRDefault="00E01B46">
      <w:pPr>
        <w:pStyle w:val="ListBullet"/>
        <w:spacing w:after="20"/>
      </w:pPr>
      <w:r>
        <w:t>API and Application Layer: authentication, wallet, payments, KYC/KYB, compliance, ledger, support, notifications, and admin operations.</w:t>
      </w:r>
    </w:p>
    <w:p w:rsidR="00024102" w:rsidRDefault="00E01B46">
      <w:pPr>
        <w:pStyle w:val="ListBullet"/>
        <w:spacing w:after="20"/>
      </w:pPr>
      <w:r>
        <w:t>Integration Layer: payment providers, SMS, email, file storage, an</w:t>
      </w:r>
      <w:r>
        <w:t>d screening sources.</w:t>
      </w:r>
    </w:p>
    <w:p w:rsidR="00024102" w:rsidRDefault="00E01B46">
      <w:pPr>
        <w:pStyle w:val="ListBullet"/>
        <w:spacing w:after="20"/>
      </w:pPr>
      <w:r>
        <w:t>Data and Infrastructure Layer: PostgreSQL, Redis, document storage, audit logs, and event logs.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4. Operational Model</w:t>
      </w:r>
    </w:p>
    <w:p w:rsidR="00024102" w:rsidRDefault="00E01B46">
      <w:r>
        <w:t xml:space="preserve">The operational model covers the complete customer and transaction lifecycle. A user can register, verify identity, </w:t>
      </w:r>
      <w:r>
        <w:t>complete KYC/KYB requirements, receive a wallet, perform financial transactions, receive notifications, and interact with support.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operational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3: End-to-end operational process flow</w:t>
      </w:r>
    </w:p>
    <w:p w:rsidR="00024102" w:rsidRDefault="00E01B46">
      <w:pPr>
        <w:pStyle w:val="Heading2"/>
      </w:pPr>
      <w:r>
        <w:t>4.1 Operating Capabilities</w:t>
      </w:r>
    </w:p>
    <w:p w:rsidR="00024102" w:rsidRDefault="00E01B46">
      <w:pPr>
        <w:pStyle w:val="ListBullet"/>
        <w:spacing w:after="20"/>
      </w:pPr>
      <w:r>
        <w:t>Customer onboarding, OTP verification, profile set</w:t>
      </w:r>
      <w:r>
        <w:t>up, KYC/KYB submission, and document upload.</w:t>
      </w:r>
    </w:p>
    <w:p w:rsidR="00024102" w:rsidRDefault="00E01B46">
      <w:pPr>
        <w:pStyle w:val="ListBullet"/>
        <w:spacing w:after="20"/>
      </w:pPr>
      <w:r>
        <w:t>Compliance screening, sanctions checks, risk scoring, manual review, approval, and request-for-information workflows.</w:t>
      </w:r>
    </w:p>
    <w:p w:rsidR="00024102" w:rsidRDefault="00E01B46">
      <w:pPr>
        <w:pStyle w:val="ListBullet"/>
        <w:spacing w:after="20"/>
      </w:pPr>
      <w:r>
        <w:t>Wallet activation, top-up, wallet-to-wallet transfer, payout, payment provider status update,</w:t>
      </w:r>
      <w:r>
        <w:t xml:space="preserve"> and transaction history.</w:t>
      </w:r>
    </w:p>
    <w:p w:rsidR="00024102" w:rsidRDefault="00E01B46">
      <w:pPr>
        <w:pStyle w:val="ListBullet"/>
        <w:spacing w:after="20"/>
      </w:pPr>
      <w:r>
        <w:t>Ledger posting, notification delivery, support ticketing, audit visibility, and admin operations.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4.2 Money Movement and Accounting Flow</w:t>
      </w:r>
    </w:p>
    <w:p w:rsidR="00024102" w:rsidRDefault="00E01B46">
      <w:r>
        <w:t>Money movement is coordinated across the API, wallet service, payment service, provider int</w:t>
      </w:r>
      <w:r>
        <w:t>egration, ledger service, notification layer, and admin operations. This gives the platform a structured flow for transaction execution and financial traceability.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payment_ledg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4: Payment and ledger flow</w:t>
      </w:r>
    </w:p>
    <w:p w:rsidR="00024102" w:rsidRDefault="00E01B46">
      <w:pPr>
        <w:pStyle w:val="ListBullet"/>
        <w:spacing w:after="20"/>
      </w:pPr>
      <w:r>
        <w:t>Top-up, transfer, and payout operations are initiated th</w:t>
      </w:r>
      <w:r>
        <w:t>rough the platform API.</w:t>
      </w:r>
    </w:p>
    <w:p w:rsidR="00024102" w:rsidRDefault="00E01B46">
      <w:pPr>
        <w:pStyle w:val="ListBullet"/>
        <w:spacing w:after="20"/>
      </w:pPr>
      <w:r>
        <w:t>Wallet validation and balance state handling support controlled financial movement.</w:t>
      </w:r>
    </w:p>
    <w:p w:rsidR="00024102" w:rsidRDefault="00E01B46">
      <w:pPr>
        <w:pStyle w:val="ListBullet"/>
        <w:spacing w:after="20"/>
      </w:pPr>
      <w:r>
        <w:t>Payment instructions and provider transaction records support provider-level tracking.</w:t>
      </w:r>
    </w:p>
    <w:p w:rsidR="00024102" w:rsidRDefault="00E01B46">
      <w:pPr>
        <w:pStyle w:val="ListBullet"/>
        <w:spacing w:after="20"/>
      </w:pPr>
      <w:r>
        <w:t>Ledger posting aligns financial activity with accounting cont</w:t>
      </w:r>
      <w:r>
        <w:t>rol and auditability.</w:t>
      </w:r>
    </w:p>
    <w:p w:rsidR="00024102" w:rsidRDefault="00E01B46">
      <w:pPr>
        <w:pStyle w:val="ListBullet"/>
        <w:spacing w:after="20"/>
      </w:pPr>
      <w:r>
        <w:t>Notifications and admin views provide operational visibility after transaction execution.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5. Deployment Strategy</w:t>
      </w:r>
    </w:p>
    <w:p w:rsidR="00024102" w:rsidRDefault="00E01B46">
      <w:r>
        <w:t>The platform is designed for modern cloud-native deployment. It includes containerization and infrastructure-related as</w:t>
      </w:r>
      <w:r>
        <w:t>sets that make it suitable for dedicated client deployment, enterprise-hosted implementation, or cloud-managed financial service environments.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5_deploymen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5: Cloud-ready deployment model</w:t>
      </w:r>
    </w:p>
    <w:p w:rsidR="00024102" w:rsidRDefault="00E01B46">
      <w:pPr>
        <w:pStyle w:val="Heading2"/>
      </w:pPr>
      <w:r>
        <w:t>5.1 Deployment Characteristics</w:t>
      </w:r>
    </w:p>
    <w:p w:rsidR="00024102" w:rsidRDefault="00E01B46">
      <w:pPr>
        <w:pStyle w:val="ListBullet"/>
        <w:spacing w:after="20"/>
      </w:pPr>
      <w:r>
        <w:t>Docker-ready application runtime.</w:t>
      </w:r>
    </w:p>
    <w:p w:rsidR="00024102" w:rsidRDefault="00E01B46">
      <w:pPr>
        <w:pStyle w:val="ListBullet"/>
        <w:spacing w:after="20"/>
      </w:pPr>
      <w:r>
        <w:t>AWS Cod</w:t>
      </w:r>
      <w:r>
        <w:t>eBuild and CodeDeploy support for delivery automation.</w:t>
      </w:r>
    </w:p>
    <w:p w:rsidR="00024102" w:rsidRDefault="00E01B46">
      <w:pPr>
        <w:pStyle w:val="ListBullet"/>
        <w:spacing w:after="20"/>
      </w:pPr>
      <w:r>
        <w:t>Terraform-related infrastructure assets for repeatable environment setup.</w:t>
      </w:r>
    </w:p>
    <w:p w:rsidR="00024102" w:rsidRDefault="00E01B46">
      <w:pPr>
        <w:pStyle w:val="ListBullet"/>
        <w:spacing w:after="20"/>
      </w:pPr>
      <w:r>
        <w:t>PostgreSQL, Redis, S3-compatible storage, and Cloudflare-ready deployment patterns.</w:t>
      </w:r>
    </w:p>
    <w:p w:rsidR="00024102" w:rsidRDefault="00E01B46">
      <w:pPr>
        <w:pStyle w:val="ListBullet"/>
        <w:spacing w:after="20"/>
      </w:pPr>
      <w:r>
        <w:t xml:space="preserve">Health/status endpoint for service </w:t>
      </w:r>
      <w:r>
        <w:t>readiness checks.</w:t>
      </w:r>
    </w:p>
    <w:p w:rsidR="00024102" w:rsidRDefault="00E01B46">
      <w:pPr>
        <w:pStyle w:val="ListBullet"/>
        <w:spacing w:after="20"/>
      </w:pPr>
      <w:r>
        <w:t>Flexible deployment as a dedicated client instance, white-label platform, digital banking backend, or payment operations backend.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6. Ownership Model</w:t>
      </w:r>
    </w:p>
    <w:p w:rsidR="00024102" w:rsidRDefault="00E01B46">
      <w:r>
        <w:t>The platform supports clear ownership boundaries across product, engineering, operation</w:t>
      </w:r>
      <w:r>
        <w:t>s, compliance, finance, and support teams. This helps client organizations define accountability across different parts of a financial services business.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6_ownership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6: Platform ownership model</w:t>
      </w:r>
    </w:p>
    <w:p w:rsidR="00024102" w:rsidRDefault="00E01B46">
      <w:pPr>
        <w:pStyle w:val="Heading2"/>
      </w:pPr>
      <w:r>
        <w:t>6.1 Ownership Domains</w:t>
      </w:r>
    </w:p>
    <w:p w:rsidR="00024102" w:rsidRDefault="00E01B46">
      <w:pPr>
        <w:pStyle w:val="ListBullet"/>
        <w:spacing w:after="20"/>
      </w:pPr>
      <w:r>
        <w:t>Product ownership: wallet, MFS, digital ban</w:t>
      </w:r>
      <w:r>
        <w:t>king, payment gateway, merchant platform, and future product extensions.</w:t>
      </w:r>
    </w:p>
    <w:p w:rsidR="00024102" w:rsidRDefault="00E01B46">
      <w:pPr>
        <w:pStyle w:val="ListBullet"/>
        <w:spacing w:after="20"/>
      </w:pPr>
      <w:r>
        <w:t>Technical ownership: backend services, provider integrations, infrastructure, authentication, and security layers.</w:t>
      </w:r>
    </w:p>
    <w:p w:rsidR="00024102" w:rsidRDefault="00E01B46">
      <w:pPr>
        <w:pStyle w:val="ListBullet"/>
        <w:spacing w:after="20"/>
      </w:pPr>
      <w:r>
        <w:t>Operational ownership: customer lifecycle control, admin operations,</w:t>
      </w:r>
      <w:r>
        <w:t xml:space="preserve"> transaction monitoring, and service workflows.</w:t>
      </w:r>
    </w:p>
    <w:p w:rsidR="00024102" w:rsidRDefault="00E01B46">
      <w:pPr>
        <w:pStyle w:val="ListBullet"/>
        <w:spacing w:after="20"/>
      </w:pPr>
      <w:r>
        <w:t>Compliance ownership: KYC/KYB review, sanctions screening, risk review, audit governance, and case handling.</w:t>
      </w:r>
    </w:p>
    <w:p w:rsidR="00024102" w:rsidRDefault="00E01B46">
      <w:pPr>
        <w:pStyle w:val="ListBullet"/>
        <w:spacing w:after="20"/>
      </w:pPr>
      <w:r>
        <w:t>Finance and accounting ownership: ledger management, journal review, settlement oversight, and fina</w:t>
      </w:r>
      <w:r>
        <w:t>ncial traceability.</w:t>
      </w:r>
    </w:p>
    <w:p w:rsidR="00024102" w:rsidRDefault="00E01B46">
      <w:pPr>
        <w:pStyle w:val="ListBullet"/>
        <w:spacing w:after="20"/>
      </w:pPr>
      <w:r>
        <w:t>Support ownership: ticket handling, customer communication, and issue resolution.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7. Platform Maturity and Future Scope</w:t>
      </w:r>
    </w:p>
    <w:p w:rsidR="00024102" w:rsidRDefault="00E01B46">
      <w:r>
        <w:t>The platform can be presented as a complete and feature-rich financial product foundation. It already contains the</w:t>
      </w:r>
      <w:r>
        <w:t xml:space="preserve"> major modules needed for wallet operations, payments, KYC/KYB, compliance screening, accounting, support, administration, and cloud deployment.</w:t>
      </w:r>
    </w:p>
    <w:p w:rsidR="00024102" w:rsidRDefault="00E01B46">
      <w:r>
        <w:rPr>
          <w:noProof/>
        </w:rPr>
        <w:drawing>
          <wp:inline distT="0" distB="0" distL="0" distR="0">
            <wp:extent cx="5989320" cy="332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7_platform_mat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02" w:rsidRDefault="00E01B46">
      <w:pPr>
        <w:jc w:val="center"/>
      </w:pPr>
      <w:r>
        <w:rPr>
          <w:i/>
          <w:color w:val="505050"/>
          <w:sz w:val="18"/>
        </w:rPr>
        <w:t>Figure 7: Platform maturity and future expansion roadmap</w:t>
      </w:r>
    </w:p>
    <w:p w:rsidR="00024102" w:rsidRDefault="00E01B46">
      <w:pPr>
        <w:pStyle w:val="Heading2"/>
      </w:pPr>
      <w:r>
        <w:t>7.1 Current Platform Status</w:t>
      </w:r>
    </w:p>
    <w:p w:rsidR="00024102" w:rsidRDefault="00E01B46">
      <w:pPr>
        <w:pStyle w:val="ListBullet"/>
        <w:spacing w:after="20"/>
      </w:pPr>
      <w:r>
        <w:t>Complete financial platf</w:t>
      </w:r>
      <w:r>
        <w:t>orm foundation with identity, wallet, payments, compliance, accounting, support, and administration.</w:t>
      </w:r>
    </w:p>
    <w:p w:rsidR="00024102" w:rsidRDefault="00E01B46">
      <w:pPr>
        <w:pStyle w:val="ListBullet"/>
        <w:spacing w:after="20"/>
      </w:pPr>
      <w:r>
        <w:t>Suitable for configurable deployment across MFS, digital banking, payment gateway, and wallet-led fintech models.</w:t>
      </w:r>
    </w:p>
    <w:p w:rsidR="00024102" w:rsidRDefault="00E01B46">
      <w:pPr>
        <w:pStyle w:val="ListBullet"/>
        <w:spacing w:after="20"/>
      </w:pPr>
      <w:r>
        <w:t>Feature-rich architecture that can suppor</w:t>
      </w:r>
      <w:r>
        <w:t>t client-specific product packaging and phased implementation.</w:t>
      </w:r>
    </w:p>
    <w:p w:rsidR="00024102" w:rsidRDefault="00E01B46">
      <w:pPr>
        <w:pStyle w:val="ListBullet"/>
        <w:spacing w:after="20"/>
      </w:pPr>
      <w:r>
        <w:t>Cloud-ready deployment structure with supporting infrastructure and integration assets.</w:t>
      </w:r>
    </w:p>
    <w:p w:rsidR="00024102" w:rsidRDefault="00E01B46">
      <w:pPr>
        <w:pStyle w:val="Heading2"/>
      </w:pPr>
      <w:r>
        <w:t>7.2 Future Blockchain Enablement</w:t>
      </w:r>
    </w:p>
    <w:p w:rsidR="00024102" w:rsidRDefault="00E01B46">
      <w:pPr>
        <w:pStyle w:val="ListBullet"/>
        <w:spacing w:after="20"/>
      </w:pPr>
      <w:r>
        <w:t xml:space="preserve">Blockchain-backed wallet infrastructure and tokenized balance </w:t>
      </w:r>
      <w:r>
        <w:t>representation.</w:t>
      </w:r>
    </w:p>
    <w:p w:rsidR="00024102" w:rsidRDefault="00E01B46">
      <w:pPr>
        <w:pStyle w:val="ListBullet"/>
        <w:spacing w:after="20"/>
      </w:pPr>
      <w:r>
        <w:t>On-chain transaction recording for selected financial events.</w:t>
      </w:r>
    </w:p>
    <w:p w:rsidR="00024102" w:rsidRDefault="00E01B46">
      <w:pPr>
        <w:pStyle w:val="ListBullet"/>
        <w:spacing w:after="20"/>
      </w:pPr>
      <w:r>
        <w:t>Stablecoin-based payment, remittance, and cross-border settlement use cases.</w:t>
      </w:r>
    </w:p>
    <w:p w:rsidR="00024102" w:rsidRDefault="00E01B46">
      <w:pPr>
        <w:pStyle w:val="ListBullet"/>
        <w:spacing w:after="20"/>
      </w:pPr>
      <w:r>
        <w:t>Smart contract-based payment automation and programmable treasury workflows.</w:t>
      </w:r>
    </w:p>
    <w:p w:rsidR="00024102" w:rsidRDefault="00E01B46">
      <w:pPr>
        <w:pStyle w:val="ListBullet"/>
        <w:spacing w:after="20"/>
      </w:pPr>
      <w:r>
        <w:t xml:space="preserve">Merchant settlement </w:t>
      </w:r>
      <w:r>
        <w:t>using digital assets or hybrid fiat and digital asset models.</w:t>
      </w:r>
    </w:p>
    <w:p w:rsidR="00024102" w:rsidRDefault="00E01B46">
      <w:pPr>
        <w:pStyle w:val="ListBullet"/>
        <w:spacing w:after="20"/>
      </w:pPr>
      <w:r>
        <w:t>Blockchain-based identity or credential verification layers and external network integrations.</w:t>
      </w:r>
    </w:p>
    <w:p w:rsidR="00024102" w:rsidRDefault="00E01B46">
      <w:r>
        <w:br w:type="page"/>
      </w:r>
    </w:p>
    <w:p w:rsidR="00024102" w:rsidRDefault="00E01B46">
      <w:pPr>
        <w:pStyle w:val="Heading1"/>
      </w:pPr>
      <w:r>
        <w:lastRenderedPageBreak/>
        <w:t>8. Board-Level Conclusion</w:t>
      </w:r>
    </w:p>
    <w:p w:rsidR="00024102" w:rsidRDefault="00E01B46">
      <w:r>
        <w:t xml:space="preserve">This platform represents a strong, modular, and commercially adaptable </w:t>
      </w:r>
      <w:r>
        <w:t>financial technology foundation. It combines customer onboarding, wallet infrastructure, transaction processing, compliance workflows, ledger accounting, support operations, administrative control, and deployment readiness in one extensible backend archite</w:t>
      </w:r>
      <w:r>
        <w:t>cture.</w:t>
      </w:r>
    </w:p>
    <w:p w:rsidR="00024102" w:rsidRDefault="00E01B46">
      <w:r>
        <w:t>From a board-level and client-facing perspective, the platform can be confidently positioned as a future-ready financial services core that can be configured into MFS, digital banking, payment gateway, wallet-led fintech, compliance-driven financial</w:t>
      </w:r>
      <w:r>
        <w:t xml:space="preserve"> applications, and future blockchain-enabled financial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24102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024102" w:rsidRDefault="00E01B46">
            <w:r>
              <w:rPr>
                <w:b/>
                <w:color w:val="FFFFFF"/>
                <w:sz w:val="18"/>
              </w:rPr>
              <w:t>Platform Positioning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Product message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A unified, configurable fintech core for multiple financial service models.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Technical message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 xml:space="preserve">A modular API-driven architecture with wallet, </w:t>
            </w:r>
            <w:r>
              <w:rPr>
                <w:sz w:val="18"/>
              </w:rPr>
              <w:t>payments, KYC/KYB, compliance, ledger, support, and admin domains.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Client message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>The platform can be adapted based on business requirements without rebuilding the core system.</w:t>
            </w:r>
          </w:p>
        </w:tc>
      </w:tr>
      <w:tr w:rsidR="00024102">
        <w:trPr>
          <w:jc w:val="center"/>
        </w:trPr>
        <w:tc>
          <w:tcPr>
            <w:tcW w:w="5040" w:type="dxa"/>
            <w:vAlign w:val="center"/>
          </w:tcPr>
          <w:p w:rsidR="00024102" w:rsidRDefault="00E01B46">
            <w:r>
              <w:rPr>
                <w:b/>
                <w:color w:val="1F4E79"/>
                <w:sz w:val="18"/>
              </w:rPr>
              <w:t>Future message</w:t>
            </w:r>
          </w:p>
        </w:tc>
        <w:tc>
          <w:tcPr>
            <w:tcW w:w="5040" w:type="dxa"/>
            <w:vAlign w:val="center"/>
          </w:tcPr>
          <w:p w:rsidR="00024102" w:rsidRDefault="00E01B46">
            <w:r>
              <w:rPr>
                <w:sz w:val="18"/>
              </w:rPr>
              <w:t xml:space="preserve">The product is positioned for blockchain enablement and </w:t>
            </w:r>
            <w:r>
              <w:rPr>
                <w:sz w:val="18"/>
              </w:rPr>
              <w:t>advanced digital finance expansion.</w:t>
            </w:r>
          </w:p>
        </w:tc>
      </w:tr>
    </w:tbl>
    <w:p w:rsidR="00024102" w:rsidRDefault="00024102"/>
    <w:sectPr w:rsidR="00024102" w:rsidSect="00034616">
      <w:headerReference w:type="default" r:id="rId15"/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B46" w:rsidRDefault="00E01B46">
      <w:pPr>
        <w:spacing w:after="0" w:line="240" w:lineRule="auto"/>
      </w:pPr>
      <w:r>
        <w:separator/>
      </w:r>
    </w:p>
  </w:endnote>
  <w:endnote w:type="continuationSeparator" w:id="0">
    <w:p w:rsidR="00E01B46" w:rsidRDefault="00E01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102" w:rsidRDefault="0002410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B46" w:rsidRDefault="00E01B46">
      <w:pPr>
        <w:spacing w:after="0" w:line="240" w:lineRule="auto"/>
      </w:pPr>
      <w:r>
        <w:separator/>
      </w:r>
    </w:p>
  </w:footnote>
  <w:footnote w:type="continuationSeparator" w:id="0">
    <w:p w:rsidR="00E01B46" w:rsidRDefault="00E01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102" w:rsidRDefault="00F26894">
    <w:pPr>
      <w:pStyle w:val="Header"/>
      <w:pBdr>
        <w:bottom w:val="single" w:sz="6" w:space="1" w:color="D9E2EC"/>
      </w:pBdr>
      <w:jc w:val="right"/>
    </w:pPr>
    <w:r w:rsidRPr="00F26894">
      <w:rPr>
        <w:bCs/>
        <w:color w:val="606E7D"/>
        <w:sz w:val="16"/>
      </w:rPr>
      <w:t>Enterprise Financial Platform</w:t>
    </w:r>
    <w:r w:rsidRPr="00F26894">
      <w:rPr>
        <w:b/>
        <w:bCs/>
        <w:color w:val="606E7D"/>
        <w:sz w:val="16"/>
      </w:rPr>
      <w:t xml:space="preserve"> </w:t>
    </w:r>
    <w:r w:rsidR="00E01B46">
      <w:rPr>
        <w:color w:val="606E7D"/>
        <w:sz w:val="16"/>
      </w:rPr>
      <w:t>| Board-Style Technical Product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102"/>
    <w:rsid w:val="00034616"/>
    <w:rsid w:val="0006063C"/>
    <w:rsid w:val="0015074B"/>
    <w:rsid w:val="0029639D"/>
    <w:rsid w:val="00326F90"/>
    <w:rsid w:val="00AA1D8D"/>
    <w:rsid w:val="00B47730"/>
    <w:rsid w:val="00CB0664"/>
    <w:rsid w:val="00E01B46"/>
    <w:rsid w:val="00F26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983F0B"/>
  <w14:defaultImageDpi w14:val="300"/>
  <w15:docId w15:val="{341272A7-CF6C-4EF2-81BF-B4CE8E54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color w:val="232A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55A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C3F082-A9CA-4FDC-8925-F0178FAE3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Future-Ready Financial Services Platform - Ready Document</dc:title>
  <dc:subject>Board-style technical product overview with diagrams</dc:subject>
  <dc:creator>OITS Dhaka</dc:creator>
  <cp:keywords/>
  <dc:description>generated by python-docx</dc:description>
  <cp:lastModifiedBy>Tanvir Ahmed Siddiqee</cp:lastModifiedBy>
  <cp:revision>2</cp:revision>
  <dcterms:created xsi:type="dcterms:W3CDTF">2013-12-23T23:15:00Z</dcterms:created>
  <dcterms:modified xsi:type="dcterms:W3CDTF">2026-05-12T11:38:00Z</dcterms:modified>
  <cp:category/>
</cp:coreProperties>
</file>