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44"/>
        </w:rPr>
        <w:t>Data Analysis Report: Patterns, Trends, and Distributions</w:t>
      </w:r>
    </w:p>
    <w:p>
      <w:pPr>
        <w:jc w:val="center"/>
      </w:pPr>
      <w:r>
        <w:rPr>
          <w:i/>
          <w:color w:val="5C768D"/>
          <w:sz w:val="28"/>
        </w:rPr>
        <w:t>Comprehensive Descriptive Statistics and Insights</w:t>
      </w:r>
    </w:p>
    <w:p>
      <w:r>
        <w:br/>
      </w:r>
    </w:p>
    <w:p>
      <w:pPr>
        <w:pStyle w:val="Heading1"/>
      </w:pPr>
      <w:r>
        <w:rPr>
          <w:color w:val="1B365D"/>
        </w:rPr>
        <w:t>1. Executive Summary</w:t>
      </w:r>
    </w:p>
    <w:p>
      <w:r>
        <w:t>This report provides a formal data analysis of the transactional dataset consisting of 1,200 records. The analysis investigates key metrics including purchase quantities, item pricing, transactional revenue, product line performance, and fulfillment efficiency to uncover patterns, distributions, and notable trends.</w:t>
      </w:r>
    </w:p>
    <w:p>
      <w:pPr>
        <w:pStyle w:val="Heading1"/>
      </w:pPr>
      <w:r>
        <w:rPr>
          <w:color w:val="1B365D"/>
        </w:rPr>
        <w:t>2. Basic Statistics Summary</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B365D"/>
          </w:tcPr>
          <w:p>
            <w:r>
              <w:rPr>
                <w:b/>
                <w:color w:val="FFFFFF"/>
              </w:rPr>
              <w:t>Metric</w:t>
            </w:r>
          </w:p>
        </w:tc>
        <w:tc>
          <w:tcPr>
            <w:tcW w:type="dxa" w:w="1728"/>
            <w:shd w:val="clear" w:color="auto" w:fill="1B365D"/>
          </w:tcPr>
          <w:p>
            <w:r>
              <w:rPr>
                <w:b/>
                <w:color w:val="FFFFFF"/>
              </w:rPr>
              <w:t>Quantity</w:t>
            </w:r>
          </w:p>
        </w:tc>
        <w:tc>
          <w:tcPr>
            <w:tcW w:type="dxa" w:w="1728"/>
            <w:shd w:val="clear" w:color="auto" w:fill="1B365D"/>
          </w:tcPr>
          <w:p>
            <w:r>
              <w:rPr>
                <w:b/>
                <w:color w:val="FFFFFF"/>
              </w:rPr>
              <w:t>Unit Price ($)</w:t>
            </w:r>
          </w:p>
        </w:tc>
        <w:tc>
          <w:tcPr>
            <w:tcW w:type="dxa" w:w="1728"/>
            <w:shd w:val="clear" w:color="auto" w:fill="1B365D"/>
          </w:tcPr>
          <w:p>
            <w:r>
              <w:rPr>
                <w:b/>
                <w:color w:val="FFFFFF"/>
              </w:rPr>
              <w:t>Items In Cart</w:t>
            </w:r>
          </w:p>
        </w:tc>
        <w:tc>
          <w:tcPr>
            <w:tcW w:type="dxa" w:w="1728"/>
            <w:shd w:val="clear" w:color="auto" w:fill="1B365D"/>
          </w:tcPr>
          <w:p>
            <w:r>
              <w:rPr>
                <w:b/>
                <w:color w:val="FFFFFF"/>
              </w:rPr>
              <w:t>Total Price ($)</w:t>
            </w:r>
          </w:p>
        </w:tc>
      </w:tr>
      <w:tr>
        <w:tc>
          <w:tcPr>
            <w:tcW w:type="dxa" w:w="1728"/>
          </w:tcPr>
          <w:p>
            <w:r>
              <w:t>Count</w:t>
            </w:r>
          </w:p>
        </w:tc>
        <w:tc>
          <w:tcPr>
            <w:tcW w:type="dxa" w:w="1728"/>
          </w:tcPr>
          <w:p>
            <w:r>
              <w:t>1,200</w:t>
            </w:r>
          </w:p>
        </w:tc>
        <w:tc>
          <w:tcPr>
            <w:tcW w:type="dxa" w:w="1728"/>
          </w:tcPr>
          <w:p>
            <w:r>
              <w:t>1,200</w:t>
            </w:r>
          </w:p>
        </w:tc>
        <w:tc>
          <w:tcPr>
            <w:tcW w:type="dxa" w:w="1728"/>
          </w:tcPr>
          <w:p>
            <w:r>
              <w:t>1,200</w:t>
            </w:r>
          </w:p>
        </w:tc>
        <w:tc>
          <w:tcPr>
            <w:tcW w:type="dxa" w:w="1728"/>
          </w:tcPr>
          <w:p>
            <w:r>
              <w:t>1,200</w:t>
            </w:r>
          </w:p>
        </w:tc>
      </w:tr>
      <w:tr>
        <w:tc>
          <w:tcPr>
            <w:tcW w:type="dxa" w:w="1728"/>
            <w:shd w:val="clear" w:color="auto" w:fill="F2F5F8"/>
          </w:tcPr>
          <w:p>
            <w:r>
              <w:t>Mean</w:t>
            </w:r>
          </w:p>
        </w:tc>
        <w:tc>
          <w:tcPr>
            <w:tcW w:type="dxa" w:w="1728"/>
            <w:shd w:val="clear" w:color="auto" w:fill="F2F5F8"/>
          </w:tcPr>
          <w:p>
            <w:r>
              <w:t>2.95</w:t>
            </w:r>
          </w:p>
        </w:tc>
        <w:tc>
          <w:tcPr>
            <w:tcW w:type="dxa" w:w="1728"/>
            <w:shd w:val="clear" w:color="auto" w:fill="F2F5F8"/>
          </w:tcPr>
          <w:p>
            <w:r>
              <w:t>356.41</w:t>
            </w:r>
          </w:p>
        </w:tc>
        <w:tc>
          <w:tcPr>
            <w:tcW w:type="dxa" w:w="1728"/>
            <w:shd w:val="clear" w:color="auto" w:fill="F2F5F8"/>
          </w:tcPr>
          <w:p>
            <w:r>
              <w:t>5.49</w:t>
            </w:r>
          </w:p>
        </w:tc>
        <w:tc>
          <w:tcPr>
            <w:tcW w:type="dxa" w:w="1728"/>
            <w:shd w:val="clear" w:color="auto" w:fill="F2F5F8"/>
          </w:tcPr>
          <w:p>
            <w:r>
              <w:t>1,053.97</w:t>
            </w:r>
          </w:p>
        </w:tc>
      </w:tr>
      <w:tr>
        <w:tc>
          <w:tcPr>
            <w:tcW w:type="dxa" w:w="1728"/>
          </w:tcPr>
          <w:p>
            <w:r>
              <w:t>Median</w:t>
            </w:r>
          </w:p>
        </w:tc>
        <w:tc>
          <w:tcPr>
            <w:tcW w:type="dxa" w:w="1728"/>
          </w:tcPr>
          <w:p>
            <w:r>
              <w:t>3.00</w:t>
            </w:r>
          </w:p>
        </w:tc>
        <w:tc>
          <w:tcPr>
            <w:tcW w:type="dxa" w:w="1728"/>
          </w:tcPr>
          <w:p>
            <w:r>
              <w:t>364.21</w:t>
            </w:r>
          </w:p>
        </w:tc>
        <w:tc>
          <w:tcPr>
            <w:tcW w:type="dxa" w:w="1728"/>
          </w:tcPr>
          <w:p>
            <w:r>
              <w:t>5.00</w:t>
            </w:r>
          </w:p>
        </w:tc>
        <w:tc>
          <w:tcPr>
            <w:tcW w:type="dxa" w:w="1728"/>
          </w:tcPr>
          <w:p>
            <w:r>
              <w:t>823.62</w:t>
            </w:r>
          </w:p>
        </w:tc>
      </w:tr>
      <w:tr>
        <w:tc>
          <w:tcPr>
            <w:tcW w:type="dxa" w:w="1728"/>
            <w:shd w:val="clear" w:color="auto" w:fill="F2F5F8"/>
          </w:tcPr>
          <w:p>
            <w:r>
              <w:t>Standard Deviation</w:t>
            </w:r>
          </w:p>
        </w:tc>
        <w:tc>
          <w:tcPr>
            <w:tcW w:type="dxa" w:w="1728"/>
            <w:shd w:val="clear" w:color="auto" w:fill="F2F5F8"/>
          </w:tcPr>
          <w:p>
            <w:r>
              <w:t>1.41</w:t>
            </w:r>
          </w:p>
        </w:tc>
        <w:tc>
          <w:tcPr>
            <w:tcW w:type="dxa" w:w="1728"/>
            <w:shd w:val="clear" w:color="auto" w:fill="F2F5F8"/>
          </w:tcPr>
          <w:p>
            <w:r>
              <w:t>197.18</w:t>
            </w:r>
          </w:p>
        </w:tc>
        <w:tc>
          <w:tcPr>
            <w:tcW w:type="dxa" w:w="1728"/>
            <w:shd w:val="clear" w:color="auto" w:fill="F2F5F8"/>
          </w:tcPr>
          <w:p>
            <w:r>
              <w:t>2.28</w:t>
            </w:r>
          </w:p>
        </w:tc>
        <w:tc>
          <w:tcPr>
            <w:tcW w:type="dxa" w:w="1728"/>
            <w:shd w:val="clear" w:color="auto" w:fill="F2F5F8"/>
          </w:tcPr>
          <w:p>
            <w:r>
              <w:t>819.86</w:t>
            </w:r>
          </w:p>
        </w:tc>
      </w:tr>
    </w:tbl>
    <w:p>
      <w:r>
        <w:br/>
      </w:r>
    </w:p>
    <w:p>
      <w:pPr>
        <w:pStyle w:val="Heading1"/>
      </w:pPr>
      <w:r>
        <w:rPr>
          <w:color w:val="1B365D"/>
        </w:rPr>
        <w:t>3. Patterns &amp; Key Trends</w:t>
      </w:r>
    </w:p>
    <w:p>
      <w:pPr>
        <w:pStyle w:val="Heading2"/>
      </w:pPr>
      <w:r>
        <w:rPr>
          <w:color w:val="5C768D"/>
        </w:rPr>
        <w:t>Product Performance</w:t>
      </w:r>
    </w:p>
    <w:p>
      <w:r>
        <w:t>• Chairs and Printers lead corporate revenue generation, generating $195,620.11 and $195,612.61 respectively.</w:t>
        <w:br/>
        <w:t>• Laptops and Tablets followed closely, contributing $192,126.56 and $186,568.95.</w:t>
        <w:br/>
        <w:t>• Phones recorded the highest average unit price ($375.22) but resulted in the lowest total volume (411 units) and revenue ($151,722.39).</w:t>
      </w:r>
    </w:p>
    <w:p>
      <w:pPr>
        <w:pStyle w:val="Heading2"/>
      </w:pPr>
      <w:r>
        <w:rPr>
          <w:color w:val="5C768D"/>
        </w:rPr>
        <w:t>Acquisition Channels &amp; Payments</w:t>
      </w:r>
    </w:p>
    <w:p>
      <w:r>
        <w:t>• Instagram proved to be the most lucrative marketing channel, driving 259 transactions and generating $275,285.45.</w:t>
        <w:br/>
        <w:t>• Credit Cards and Online payments accounted for the majority of incoming revenue stream distribution ($263k and $262k respectively).</w:t>
      </w:r>
    </w:p>
    <w:p>
      <w:pPr>
        <w:pStyle w:val="Heading1"/>
      </w:pPr>
      <w:r>
        <w:rPr>
          <w:color w:val="1B365D"/>
        </w:rPr>
        <w:t>4. Distribution &amp; Outliers</w:t>
      </w:r>
    </w:p>
    <w:p>
      <w:r>
        <w:t>Using the Interquartile Range (IQR) method on order revenue (Total Price), the upper limit threshold for typical orders sits at $3,330.41. Exactly 8 transactions exceeded this value, representing extreme high-value wholesale or bulk consumer purchases. The maximum outlier transaction reached $3,456.40 (Order ORD200789, Tablet purchase with maximum quantity and price tiers).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