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Merging: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Identify DEG: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In merged dataset evaluate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p_values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log2_fold_changes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  <w:tab/>
        <w:t xml:space="preserve">To get final DEGs set: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(abs(deg_results["log2FC"]) &gt; 1)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(deg_results["adj_p-value"] &lt; 0.5)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IDENTIFY differentially expressed genes (DEGs)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a. CLASSIFY DEGs as upregulated or downregulated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PERFORM pathway and enrichment analysis: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a. FOR upregulated DEGs: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- RUN pathway enrichment analysis (e.g., GO, KEGG)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- STORE significantly enriched pathways and terms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b. FOR downregulated DEGs: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  - RUN pathway enrichment analysis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  - STORE significantly enriched pathways and terms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Gene co-expression network construction: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CALCULATE pairwise correlation matrix between DEGs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For each pair of DEGs: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  - If |correlation(gene1, gene2)| &gt; threshold: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        - Create edge between gene1 and gene2 in network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- Nodes represent genes, edges represent strong co-expression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PPI- network construction: Load genes in STRING and generate the graph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IDENTIFY top hub genes: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a. FOR each centrality algorithm (Closeness, MCC, MNC):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i.   CALCULATE centrality for all nodes (genes)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ii.  RANK genes by centrality score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    iii. SELECT top N genes for various N (e.g., 10, 20, 30, 40)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b. STORE sets of top hub genes for each centrality and each threshold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 c. COMPARE sets to find overlapping genes among methods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8Bh0+UWBQ4CrgoO+b4nL6l7ciQ==">CgMxLjA4AHIhMXp6NXlhT3JCbVJaYXNOVXZDM2cxR3ZpOVBNNVBid3J3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