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2f2f2" w:val="clear"/>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Technical Report</w:t>
              <w:br w:type="textWrapping"/>
              <w:t xml:space="preserve">Assignment 2: Bayesian Classification</w:t>
            </w:r>
          </w:p>
        </w:tc>
        <w:tc>
          <w:tcPr>
            <w:shd w:fill="f2f2f2" w:val="clea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student name here&gt;</w:t>
            </w:r>
          </w:p>
        </w:tc>
      </w:tr>
      <w:tr>
        <w:trPr>
          <w:cantSplit w:val="0"/>
          <w:tblHeader w:val="0"/>
        </w:trPr>
        <w:tc>
          <w:tcPr>
            <w:gridSpan w:val="2"/>
            <w:shd w:fill="f2f2f2" w:val="clear"/>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 Assignment 2: Bayesian Classification</w:t>
            </w:r>
          </w:p>
        </w:tc>
      </w:tr>
      <w:tr>
        <w:trPr>
          <w:cantSplit w:val="0"/>
          <w:tblHeader w:val="0"/>
        </w:trPr>
        <w:tc>
          <w:tcPr>
            <w:gridSpan w:val="2"/>
            <w:shd w:fill="f2f2f2" w:val="clea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dataset: </w:t>
            </w:r>
          </w:p>
        </w:tc>
      </w:tr>
    </w:tbl>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Domain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0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had a significant impact on public health globally, with millions of cases reported. Early detection and prediction of COVID-19 are critical in controlling the spread of the virus and managing healthcare resources effectively. This project aims to leverage a Bayesian classification approach to predict the likelihood of COVID-19 based on patient symptoms and demographic information. By analyzing various factors, we aim to contribute to better decision-making in healthcare.</w:t>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indicate that certain symptoms, such as fever and cough, are prevalent among COVID-19 patients. According to the World Health Organization (WHO), these symptoms can lead to effective screening and early diagnosis. The Bayesian classifier is particularly suitable for this analysis because it provides a probabilistic framework that can handle uncertainty and missing data effectively.</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is to build a Bayesian classifier to predict COVID-19 infections based on key attributes from a dataset. We aim to answer the following questions:</w:t>
            </w:r>
          </w:p>
          <w:p w:rsidR="00000000" w:rsidDel="00000000" w:rsidP="00000000" w:rsidRDefault="00000000" w:rsidRPr="00000000" w14:paraId="00000012">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accurately predict COVID-19 infections using available data?</w:t>
            </w:r>
          </w:p>
          <w:p w:rsidR="00000000" w:rsidDel="00000000" w:rsidP="00000000" w:rsidRDefault="00000000" w:rsidRPr="00000000" w14:paraId="00000013">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features contribute most significantly to the prediction accuracy?</w:t>
            </w:r>
          </w:p>
          <w:p w:rsidR="00000000" w:rsidDel="00000000" w:rsidP="00000000" w:rsidRDefault="00000000" w:rsidRPr="00000000" w14:paraId="00000014">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performance of the Naïve Bayes model compare to baseline accuracy?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w:t>
            </w: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Exploratory D</w:t>
            </w:r>
            <w:r w:rsidDel="00000000" w:rsidR="00000000" w:rsidRPr="00000000">
              <w:rPr>
                <w:rFonts w:ascii="Times New Roman" w:cs="Times New Roman" w:eastAsia="Times New Roman" w:hAnsi="Times New Roman"/>
                <w:b w:val="1"/>
                <w:sz w:val="24"/>
                <w:szCs w:val="24"/>
                <w:rtl w:val="0"/>
              </w:rPr>
              <w:t xml:space="preserve">ata</w:t>
            </w:r>
            <w:r w:rsidDel="00000000" w:rsidR="00000000" w:rsidRPr="00000000">
              <w:rPr>
                <w:rFonts w:ascii="Times New Roman" w:cs="Times New Roman" w:eastAsia="Times New Roman" w:hAnsi="Times New Roman"/>
                <w:b w:val="1"/>
                <w:color w:val="000000"/>
                <w:sz w:val="24"/>
                <w:szCs w:val="24"/>
                <w:rtl w:val="0"/>
              </w:rPr>
              <w:t xml:space="preserve"> Analysis (EDA)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for this project was obtained from [insert dataset source]. It comprises [number of rows] observations and [number of columns] variables, including symptoms, demographics, and COVID-19 test results.</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Variables Analyzed:</w:t>
            </w:r>
          </w:p>
          <w:p w:rsidR="00000000" w:rsidDel="00000000" w:rsidP="00000000" w:rsidRDefault="00000000" w:rsidRPr="00000000" w14:paraId="0000001A">
            <w:pPr>
              <w:numPr>
                <w:ilvl w:val="0"/>
                <w:numId w:val="7"/>
              </w:numPr>
              <w:spacing w:after="0" w:afterAutospacing="0" w:before="24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Symptoms:</w:t>
            </w:r>
            <w:r w:rsidDel="00000000" w:rsidR="00000000" w:rsidRPr="00000000">
              <w:rPr>
                <w:rFonts w:ascii="Times New Roman" w:cs="Times New Roman" w:eastAsia="Times New Roman" w:hAnsi="Times New Roman"/>
                <w:sz w:val="24"/>
                <w:szCs w:val="24"/>
                <w:rtl w:val="0"/>
              </w:rPr>
              <w:t xml:space="preserve"> Fever, cough, shortness of breath</w:t>
            </w:r>
          </w:p>
          <w:p w:rsidR="00000000" w:rsidDel="00000000" w:rsidP="00000000" w:rsidRDefault="00000000" w:rsidRPr="00000000" w14:paraId="0000001B">
            <w:pPr>
              <w:numPr>
                <w:ilvl w:val="0"/>
                <w:numId w:val="7"/>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Demographics:</w:t>
            </w:r>
            <w:r w:rsidDel="00000000" w:rsidR="00000000" w:rsidRPr="00000000">
              <w:rPr>
                <w:rFonts w:ascii="Times New Roman" w:cs="Times New Roman" w:eastAsia="Times New Roman" w:hAnsi="Times New Roman"/>
                <w:sz w:val="24"/>
                <w:szCs w:val="24"/>
                <w:rtl w:val="0"/>
              </w:rPr>
              <w:t xml:space="preserve"> Age, gender, country of residence</w:t>
            </w:r>
          </w:p>
          <w:p w:rsidR="00000000" w:rsidDel="00000000" w:rsidP="00000000" w:rsidRDefault="00000000" w:rsidRPr="00000000" w14:paraId="0000001C">
            <w:pPr>
              <w:numPr>
                <w:ilvl w:val="0"/>
                <w:numId w:val="7"/>
              </w:numPr>
              <w:spacing w:after="24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Target Variable:</w:t>
            </w:r>
            <w:r w:rsidDel="00000000" w:rsidR="00000000" w:rsidRPr="00000000">
              <w:rPr>
                <w:rFonts w:ascii="Times New Roman" w:cs="Times New Roman" w:eastAsia="Times New Roman" w:hAnsi="Times New Roman"/>
                <w:sz w:val="24"/>
                <w:szCs w:val="24"/>
                <w:rtl w:val="0"/>
              </w:rPr>
              <w:t xml:space="preserve"> COVID-19 test result (positive/negative)</w:t>
            </w:r>
          </w:p>
          <w:p w:rsidR="00000000" w:rsidDel="00000000" w:rsidP="00000000" w:rsidRDefault="00000000" w:rsidRPr="00000000" w14:paraId="0000001D">
            <w:pPr>
              <w:spacing w:after="240" w:before="24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Visualizations:</w:t>
              <w:br w:type="textWrapping"/>
            </w:r>
            <w:r w:rsidDel="00000000" w:rsidR="00000000" w:rsidRPr="00000000">
              <w:rPr>
                <w:rFonts w:ascii="Times New Roman" w:cs="Times New Roman" w:eastAsia="Times New Roman" w:hAnsi="Times New Roman"/>
                <w:sz w:val="24"/>
                <w:szCs w:val="24"/>
                <w:rtl w:val="0"/>
              </w:rPr>
              <w:t xml:space="preserve">The following visualizations provide insights into the data distribution:</w:t>
            </w:r>
          </w:p>
          <w:p w:rsidR="00000000" w:rsidDel="00000000" w:rsidP="00000000" w:rsidRDefault="00000000" w:rsidRPr="00000000" w14:paraId="0000001F">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of Plot distribution for each feature </w:t>
            </w:r>
          </w:p>
          <w:p w:rsidR="00000000" w:rsidDel="00000000" w:rsidP="00000000" w:rsidRDefault="00000000" w:rsidRPr="00000000" w14:paraId="00000020">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of COVID-19 Results: Depicts counts of positive and negative cases.</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818418" cy="187166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18418" cy="1871663"/>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728913" cy="1996005"/>
                  <wp:effectExtent b="25400" l="25400" r="25400" t="254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8913" cy="19960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the basic statistical details:</w:t>
            </w:r>
            <w:r w:rsidDel="00000000" w:rsidR="00000000" w:rsidRPr="00000000">
              <w:rPr>
                <w:rFonts w:ascii="Times New Roman" w:cs="Times New Roman" w:eastAsia="Times New Roman" w:hAnsi="Times New Roman"/>
                <w:b w:val="1"/>
                <w:sz w:val="24"/>
                <w:szCs w:val="24"/>
              </w:rPr>
              <w:drawing>
                <wp:inline distB="114300" distT="114300" distL="114300" distR="114300">
                  <wp:extent cx="5529263" cy="2714625"/>
                  <wp:effectExtent b="25400" l="25400" r="25400" t="254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29263" cy="2714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 Descriptive Statistic</w:t>
            </w: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Preprocessing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exploratory analysis, we identified the need for data preprocessing to enhance model performance. The preprocessing steps included:</w:t>
            </w:r>
          </w:p>
          <w:p w:rsidR="00000000" w:rsidDel="00000000" w:rsidP="00000000" w:rsidRDefault="00000000" w:rsidRPr="00000000" w14:paraId="0000002B">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r w:rsidDel="00000000" w:rsidR="00000000" w:rsidRPr="00000000">
              <w:rPr>
                <w:rFonts w:ascii="Times New Roman" w:cs="Times New Roman" w:eastAsia="Times New Roman" w:hAnsi="Times New Roman"/>
                <w:sz w:val="24"/>
                <w:szCs w:val="24"/>
                <w:rtl w:val="0"/>
              </w:rPr>
              <w:t xml:space="preserve"> Rows with missing target values were dropped to ensure model accuracy.</w:t>
            </w:r>
          </w:p>
          <w:p w:rsidR="00000000" w:rsidDel="00000000" w:rsidP="00000000" w:rsidRDefault="00000000" w:rsidRPr="00000000" w14:paraId="0000002C">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Categorical features (e.g., gender, country) were converted to numeric values to facilitate model training.</w:t>
            </w:r>
          </w:p>
          <w:p w:rsidR="00000000" w:rsidDel="00000000" w:rsidP="00000000" w:rsidRDefault="00000000" w:rsidRPr="00000000" w14:paraId="0000002D">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Standard scaling was applied to numeric features to ensure they follow a similar scale, which is essential for many algorithms.</w:t>
            </w:r>
          </w:p>
          <w:p w:rsidR="00000000" w:rsidDel="00000000" w:rsidP="00000000" w:rsidRDefault="00000000" w:rsidRPr="00000000" w14:paraId="0000002E">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Preprocessing Code Execution here for label encoding and scaling results.</w:t>
            </w: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4392486"/>
                  <wp:effectExtent b="12700" l="12700" r="12700" t="127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62563" cy="4392486"/>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Fitting</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031">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widowControl w:val="0"/>
              <w:shd w:fill="ffffff" w:val="clear"/>
              <w:tabs>
                <w:tab w:val="left" w:leader="none" w:pos="1890"/>
              </w:tabs>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chose the Gaussian Naïve Bayes algorithm due to its effectiveness in handling continuous data and its probabilistic nature. The modeling process included:</w:t>
            </w:r>
          </w:p>
          <w:p w:rsidR="00000000" w:rsidDel="00000000" w:rsidP="00000000" w:rsidRDefault="00000000" w:rsidRPr="00000000" w14:paraId="00000033">
            <w:pPr>
              <w:numPr>
                <w:ilvl w:val="0"/>
                <w:numId w:val="9"/>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 Dividing the dataset into an 80% training set and a 20% testing set to validate the model’s performance.</w:t>
            </w:r>
          </w:p>
          <w:p w:rsidR="00000000" w:rsidDel="00000000" w:rsidP="00000000" w:rsidRDefault="00000000" w:rsidRPr="00000000" w14:paraId="00000034">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Fitting the Gaussian Naïve Bayes model on the training data to learn from it.</w:t>
            </w:r>
          </w:p>
          <w:p w:rsidR="00000000" w:rsidDel="00000000" w:rsidP="00000000" w:rsidRDefault="00000000" w:rsidRPr="00000000" w14:paraId="00000035">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Parameter Tuning:</w:t>
            </w:r>
            <w:r w:rsidDel="00000000" w:rsidR="00000000" w:rsidRPr="00000000">
              <w:rPr>
                <w:rFonts w:ascii="Times New Roman" w:cs="Times New Roman" w:eastAsia="Times New Roman" w:hAnsi="Times New Roman"/>
                <w:sz w:val="24"/>
                <w:szCs w:val="24"/>
                <w:rtl w:val="0"/>
              </w:rPr>
              <w:t xml:space="preserve"> Adjusting smoothing parameters to improve model performance, crucial for achieving high accuracy.</w:t>
            </w:r>
          </w:p>
          <w:p w:rsidR="00000000" w:rsidDel="00000000" w:rsidP="00000000" w:rsidRDefault="00000000" w:rsidRPr="00000000" w14:paraId="00000036">
            <w:pPr>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Fitting Code Execution here:</w:t>
            </w:r>
            <w:r w:rsidDel="00000000" w:rsidR="00000000" w:rsidRPr="00000000">
              <w:rPr>
                <w:rtl w:val="0"/>
              </w:rPr>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35219" cy="2208634"/>
                  <wp:effectExtent b="12700" l="12700" r="12700" t="127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35219" cy="2208634"/>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Properties: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fitted model's properties provide insight into its performance.</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 include:</w:t>
            </w:r>
          </w:p>
          <w:p w:rsidR="00000000" w:rsidDel="00000000" w:rsidP="00000000" w:rsidRDefault="00000000" w:rsidRPr="00000000" w14:paraId="0000003C">
            <w:pPr>
              <w:numPr>
                <w:ilvl w:val="0"/>
                <w:numId w:val="6"/>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Prior Probabilities:</w:t>
            </w:r>
            <w:r w:rsidDel="00000000" w:rsidR="00000000" w:rsidRPr="00000000">
              <w:rPr>
                <w:rFonts w:ascii="Times New Roman" w:cs="Times New Roman" w:eastAsia="Times New Roman" w:hAnsi="Times New Roman"/>
                <w:sz w:val="24"/>
                <w:szCs w:val="24"/>
                <w:rtl w:val="0"/>
              </w:rPr>
              <w:t xml:space="preserve"> Calculated probabilities of each class (positive/negative  COVID-19 test).</w:t>
            </w:r>
          </w:p>
          <w:p w:rsidR="00000000" w:rsidDel="00000000" w:rsidP="00000000" w:rsidRDefault="00000000" w:rsidRPr="00000000" w14:paraId="0000003D">
            <w:pPr>
              <w:numPr>
                <w:ilvl w:val="0"/>
                <w:numId w:val="6"/>
              </w:numPr>
              <w:spacing w:after="24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Feature Means and Variances:</w:t>
            </w:r>
            <w:r w:rsidDel="00000000" w:rsidR="00000000" w:rsidRPr="00000000">
              <w:rPr>
                <w:rFonts w:ascii="Times New Roman" w:cs="Times New Roman" w:eastAsia="Times New Roman" w:hAnsi="Times New Roman"/>
                <w:sz w:val="24"/>
                <w:szCs w:val="24"/>
                <w:rtl w:val="0"/>
              </w:rPr>
              <w:t xml:space="preserve"> Estimated means and variances for each feature relevant to the target variable.</w:t>
            </w:r>
          </w:p>
        </w:tc>
      </w:tr>
      <w:tr>
        <w:trPr>
          <w:cantSplit w:val="0"/>
          <w:tblHeader w:val="0"/>
        </w:trPr>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Interpretation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effectiveness was evaluated through a confusion matrix and a classification report. These metrics allow for a comprehensive understanding of the model's predictive capabilities.</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Evaluation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was evaluated using several metrics, including:</w:t>
            </w:r>
          </w:p>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Proportion of correct predictions.</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Ability to avoid false positives.</w:t>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3542701"/>
                  <wp:effectExtent b="12700" l="12700" r="12700" t="127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34038" cy="35427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 (Sensitivity):</w:t>
            </w:r>
            <w:r w:rsidDel="00000000" w:rsidR="00000000" w:rsidRPr="00000000">
              <w:rPr>
                <w:rFonts w:ascii="Times New Roman" w:cs="Times New Roman" w:eastAsia="Times New Roman" w:hAnsi="Times New Roman"/>
                <w:sz w:val="24"/>
                <w:szCs w:val="24"/>
                <w:rtl w:val="0"/>
              </w:rPr>
              <w:t xml:space="preserve"> Ability to identify true positives.</w:t>
            </w:r>
          </w:p>
          <w:p w:rsidR="00000000" w:rsidDel="00000000" w:rsidP="00000000" w:rsidRDefault="00000000" w:rsidRPr="00000000" w14:paraId="0000004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4132" cy="1359312"/>
                  <wp:effectExtent b="25400" l="25400" r="25400" t="2540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94132" cy="13593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2131887"/>
                  <wp:effectExtent b="12700" l="12700" r="12700" t="127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76638" cy="21318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result of the model:</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1562100"/>
                  <wp:effectExtent b="12700" l="12700" r="12700" t="127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00725" cy="1562100"/>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Bayesian classification model demonstrated its effectiveness in predicting COVID-19 infections, achieving an accuracy of 75%. Key findings include the significance of symptoms such as fever and cough, which strongly correlate with positive COVID-19 test results.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 &amp; Improvement areas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51">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numPr>
                <w:ilvl w:val="0"/>
                <w:numId w:val="5"/>
              </w:numPr>
              <w:spacing w:after="0" w:afterAutospacing="0" w:before="24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Some features had missing values that affected the dataset size.</w:t>
            </w:r>
          </w:p>
          <w:p w:rsidR="00000000" w:rsidDel="00000000" w:rsidP="00000000" w:rsidRDefault="00000000" w:rsidRPr="00000000" w14:paraId="00000053">
            <w:pPr>
              <w:numPr>
                <w:ilvl w:val="0"/>
                <w:numId w:val="5"/>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Model Assumptions:</w:t>
            </w:r>
            <w:r w:rsidDel="00000000" w:rsidR="00000000" w:rsidRPr="00000000">
              <w:rPr>
                <w:rFonts w:ascii="Times New Roman" w:cs="Times New Roman" w:eastAsia="Times New Roman" w:hAnsi="Times New Roman"/>
                <w:sz w:val="24"/>
                <w:szCs w:val="24"/>
                <w:rtl w:val="0"/>
              </w:rPr>
              <w:t xml:space="preserve"> The independence assumption may not fully represent the relationships among features.</w:t>
            </w:r>
          </w:p>
          <w:p w:rsidR="00000000" w:rsidDel="00000000" w:rsidP="00000000" w:rsidRDefault="00000000" w:rsidRPr="00000000" w14:paraId="00000054">
            <w:pPr>
              <w:numPr>
                <w:ilvl w:val="0"/>
                <w:numId w:val="5"/>
              </w:numPr>
              <w:spacing w:after="240" w:before="0" w:beforeAutospacing="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Fonts w:ascii="Times New Roman" w:cs="Times New Roman" w:eastAsia="Times New Roman" w:hAnsi="Times New Roman"/>
                <w:sz w:val="24"/>
                <w:szCs w:val="24"/>
                <w:rtl w:val="0"/>
              </w:rPr>
              <w:t xml:space="preserve"> Exploring alternative algorithms, such as logistic regression or random forests, could yield improved accuracy and insights.</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bookmarkStart w:colFirst="0" w:colLast="0" w:name="gjdgxs" w:id="0"/>
          <w:bookmarkEnd w:id="0"/>
          <w:p w:rsidR="00000000" w:rsidDel="00000000" w:rsidP="00000000" w:rsidRDefault="00000000" w:rsidRPr="00000000" w14:paraId="00000056">
            <w:pPr>
              <w:widowControl w:val="0"/>
              <w:spacing w:after="15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tc>
      </w:tr>
      <w:tr>
        <w:trPr>
          <w:cantSplit w:val="0"/>
          <w:tblHeader w:val="0"/>
        </w:trPr>
        <w:tc>
          <w:tcPr/>
          <w:p w:rsidR="00000000" w:rsidDel="00000000" w:rsidP="00000000" w:rsidRDefault="00000000" w:rsidRPr="00000000" w14:paraId="00000057">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Confusion Matrix:</w:t>
            </w:r>
            <w:r w:rsidDel="00000000" w:rsidR="00000000" w:rsidRPr="00000000">
              <w:rPr>
                <w:rFonts w:ascii="Times New Roman" w:cs="Times New Roman" w:eastAsia="Times New Roman" w:hAnsi="Times New Roman"/>
                <w:i w:val="1"/>
                <w:sz w:val="24"/>
                <w:szCs w:val="24"/>
                <w:rtl w:val="0"/>
              </w:rPr>
              <w:t xml:space="preserve"> The confusion matrix provides a detailed breakdown of the Naive Bayes model's classification performance across various classes (A, B, C, D). It highlights the true positives, false positives, false negatives, and true negatives for each class, allowing for an assessment of the model’s accuracy. This matrix is particularly useful for identifying classes that are frequently misclassified, such as Class B and Class C, indicating areas where the model could benefit from further tuning or additional feature engineering.</w:t>
            </w:r>
          </w:p>
          <w:p w:rsidR="00000000" w:rsidDel="00000000" w:rsidP="00000000" w:rsidRDefault="00000000" w:rsidRPr="00000000" w14:paraId="00000058">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Naive Bayes Classifier Visualization:</w:t>
            </w:r>
            <w:r w:rsidDel="00000000" w:rsidR="00000000" w:rsidRPr="00000000">
              <w:rPr>
                <w:rFonts w:ascii="Times New Roman" w:cs="Times New Roman" w:eastAsia="Times New Roman" w:hAnsi="Times New Roman"/>
                <w:i w:val="1"/>
                <w:sz w:val="24"/>
                <w:szCs w:val="24"/>
                <w:rtl w:val="0"/>
              </w:rPr>
              <w:t xml:space="preserve"> A visualization of the Naive Bayes classifier's decision boundaries can help interpret the model's predictions based on features such as age, body fat percentage, and grip strength. While Naive Bayes does not create explicit decision trees, it provides probabilities for each class, which can be visualized to show how features influence class membership. This visualization aids in understanding the probabilistic nature of the model and how different attributes contribute to the classification outcome.</w:t>
            </w:r>
          </w:p>
          <w:p w:rsidR="00000000" w:rsidDel="00000000" w:rsidP="00000000" w:rsidRDefault="00000000" w:rsidRPr="00000000" w14:paraId="00000059">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Code Snippets for Preprocessing and Modeling:</w:t>
            </w:r>
            <w:r w:rsidDel="00000000" w:rsidR="00000000" w:rsidRPr="00000000">
              <w:rPr>
                <w:rFonts w:ascii="Times New Roman" w:cs="Times New Roman" w:eastAsia="Times New Roman" w:hAnsi="Times New Roman"/>
                <w:i w:val="1"/>
                <w:sz w:val="24"/>
                <w:szCs w:val="24"/>
                <w:rtl w:val="0"/>
              </w:rPr>
              <w:t xml:space="preserve"> The model-building process for the Naive Bayes classifier included essential preprocessing steps such as:</w:t>
            </w:r>
          </w:p>
          <w:p w:rsidR="00000000" w:rsidDel="00000000" w:rsidP="00000000" w:rsidRDefault="00000000" w:rsidRPr="00000000" w14:paraId="0000005A">
            <w:pPr>
              <w:numPr>
                <w:ilvl w:val="0"/>
                <w:numId w:val="8"/>
              </w:numPr>
              <w:spacing w:after="0" w:afterAutospacing="0" w:before="24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b w:val="1"/>
                <w:i w:val="1"/>
                <w:sz w:val="24"/>
                <w:szCs w:val="24"/>
                <w:rtl w:val="0"/>
              </w:rPr>
              <w:t xml:space="preserve">Encoding Categorical Variables:</w:t>
            </w:r>
            <w:r w:rsidDel="00000000" w:rsidR="00000000" w:rsidRPr="00000000">
              <w:rPr>
                <w:rFonts w:ascii="Times New Roman" w:cs="Times New Roman" w:eastAsia="Times New Roman" w:hAnsi="Times New Roman"/>
                <w:i w:val="1"/>
                <w:sz w:val="24"/>
                <w:szCs w:val="24"/>
                <w:rtl w:val="0"/>
              </w:rPr>
              <w:t xml:space="preserve"> Categorical features (e.g., gender) were transformed into numerical format using techniques such as one-hot encoding.</w:t>
            </w:r>
          </w:p>
          <w:p w:rsidR="00000000" w:rsidDel="00000000" w:rsidP="00000000" w:rsidRDefault="00000000" w:rsidRPr="00000000" w14:paraId="0000005B">
            <w:pPr>
              <w:numPr>
                <w:ilvl w:val="0"/>
                <w:numId w:val="8"/>
              </w:numPr>
              <w:spacing w:after="24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Scaling:</w:t>
            </w:r>
            <w:r w:rsidDel="00000000" w:rsidR="00000000" w:rsidRPr="00000000">
              <w:rPr>
                <w:rFonts w:ascii="Times New Roman" w:cs="Times New Roman" w:eastAsia="Times New Roman" w:hAnsi="Times New Roman"/>
                <w:i w:val="1"/>
                <w:sz w:val="24"/>
                <w:szCs w:val="24"/>
                <w:rtl w:val="0"/>
              </w:rPr>
              <w:t xml:space="preserve"> Although Naive Bayes is generally less sensitive to feature scaling, continuous features (e.g., age, weight) were standardized to ensure consistent input data.</w:t>
            </w:r>
          </w:p>
          <w:p w:rsidR="00000000" w:rsidDel="00000000" w:rsidP="00000000" w:rsidRDefault="00000000" w:rsidRPr="00000000" w14:paraId="0000005C">
            <w:pPr>
              <w:spacing w:after="0"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80" w:before="280" w:line="276" w:lineRule="auto"/>
              <w:rPr>
                <w:rFonts w:ascii="Times New Roman" w:cs="Times New Roman" w:eastAsia="Times New Roman" w:hAnsi="Times New Roman"/>
                <w:i w:val="1"/>
                <w:color w:val="000000"/>
                <w:sz w:val="24"/>
                <w:szCs w:val="24"/>
              </w:rPr>
            </w:pPr>
            <w:bookmarkStart w:colFirst="0" w:colLast="0" w:name="_k1uf1usqlvuy" w:id="1"/>
            <w:bookmarkEnd w:id="1"/>
            <w:r w:rsidDel="00000000" w:rsidR="00000000" w:rsidRPr="00000000">
              <w:rPr>
                <w:rFonts w:ascii="Times New Roman" w:cs="Times New Roman" w:eastAsia="Times New Roman" w:hAnsi="Times New Roman"/>
                <w:i w:val="1"/>
                <w:color w:val="000000"/>
                <w:sz w:val="24"/>
                <w:szCs w:val="24"/>
                <w:rtl w:val="0"/>
              </w:rPr>
              <w:t xml:space="preserve">References</w:t>
            </w:r>
          </w:p>
          <w:p w:rsidR="00000000" w:rsidDel="00000000" w:rsidP="00000000" w:rsidRDefault="00000000" w:rsidRPr="00000000" w14:paraId="0000005E">
            <w:pPr>
              <w:numPr>
                <w:ilvl w:val="0"/>
                <w:numId w:val="3"/>
              </w:numPr>
              <w:spacing w:after="0" w:afterAutospacing="0" w:before="24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Mitchell, T. M. (1997). </w:t>
            </w: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Fonts w:ascii="Times New Roman" w:cs="Times New Roman" w:eastAsia="Times New Roman" w:hAnsi="Times New Roman"/>
                <w:i w:val="1"/>
                <w:sz w:val="24"/>
                <w:szCs w:val="24"/>
                <w:rtl w:val="0"/>
              </w:rPr>
              <w:t xml:space="preserve">. McGraw-Hill.</w:t>
            </w:r>
          </w:p>
          <w:p w:rsidR="00000000" w:rsidDel="00000000" w:rsidP="00000000" w:rsidRDefault="00000000" w:rsidRPr="00000000" w14:paraId="0000005F">
            <w:pPr>
              <w:numPr>
                <w:ilvl w:val="0"/>
                <w:numId w:val="3"/>
              </w:numPr>
              <w:spacing w:after="0" w:afterAutospacing="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Russell, S., &amp; Norvig, P. (2020). </w:t>
            </w:r>
            <w:r w:rsidDel="00000000" w:rsidR="00000000" w:rsidRPr="00000000">
              <w:rPr>
                <w:rFonts w:ascii="Times New Roman" w:cs="Times New Roman" w:eastAsia="Times New Roman" w:hAnsi="Times New Roman"/>
                <w:b w:val="1"/>
                <w:i w:val="1"/>
                <w:sz w:val="24"/>
                <w:szCs w:val="24"/>
                <w:rtl w:val="0"/>
              </w:rPr>
              <w:t xml:space="preserve">Artificial Intelligence: A Modern Approach</w:t>
            </w:r>
            <w:r w:rsidDel="00000000" w:rsidR="00000000" w:rsidRPr="00000000">
              <w:rPr>
                <w:rFonts w:ascii="Times New Roman" w:cs="Times New Roman" w:eastAsia="Times New Roman" w:hAnsi="Times New Roman"/>
                <w:i w:val="1"/>
                <w:sz w:val="24"/>
                <w:szCs w:val="24"/>
                <w:rtl w:val="0"/>
              </w:rPr>
              <w:t xml:space="preserve"> (4th ed.). Pearson.</w:t>
            </w:r>
          </w:p>
          <w:p w:rsidR="00000000" w:rsidDel="00000000" w:rsidP="00000000" w:rsidRDefault="00000000" w:rsidRPr="00000000" w14:paraId="00000060">
            <w:pPr>
              <w:numPr>
                <w:ilvl w:val="0"/>
                <w:numId w:val="3"/>
              </w:numPr>
              <w:spacing w:after="0" w:afterAutospacing="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Zhang, H. (2004). The Optimality of Naive Bayes. In </w:t>
            </w:r>
            <w:r w:rsidDel="00000000" w:rsidR="00000000" w:rsidRPr="00000000">
              <w:rPr>
                <w:rFonts w:ascii="Times New Roman" w:cs="Times New Roman" w:eastAsia="Times New Roman" w:hAnsi="Times New Roman"/>
                <w:b w:val="1"/>
                <w:i w:val="1"/>
                <w:sz w:val="24"/>
                <w:szCs w:val="24"/>
                <w:rtl w:val="0"/>
              </w:rPr>
              <w:t xml:space="preserve">Fifth International Workshop on Artificial Intelligence and Statistics</w:t>
            </w:r>
            <w:r w:rsidDel="00000000" w:rsidR="00000000" w:rsidRPr="00000000">
              <w:rPr>
                <w:rFonts w:ascii="Times New Roman" w:cs="Times New Roman" w:eastAsia="Times New Roman" w:hAnsi="Times New Roman"/>
                <w:i w:val="1"/>
                <w:sz w:val="24"/>
                <w:szCs w:val="24"/>
                <w:rtl w:val="0"/>
              </w:rPr>
              <w:t xml:space="preserve"> (pp. 320-325).</w:t>
            </w:r>
          </w:p>
          <w:p w:rsidR="00000000" w:rsidDel="00000000" w:rsidP="00000000" w:rsidRDefault="00000000" w:rsidRPr="00000000" w14:paraId="00000061">
            <w:pPr>
              <w:numPr>
                <w:ilvl w:val="0"/>
                <w:numId w:val="3"/>
              </w:numPr>
              <w:spacing w:after="0" w:afterAutospacing="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McCallum, A., &amp; Nigam, S. (1998). A Comparison of Event Models for Naive Bayes Text Classification. In </w:t>
            </w:r>
            <w:r w:rsidDel="00000000" w:rsidR="00000000" w:rsidRPr="00000000">
              <w:rPr>
                <w:rFonts w:ascii="Times New Roman" w:cs="Times New Roman" w:eastAsia="Times New Roman" w:hAnsi="Times New Roman"/>
                <w:b w:val="1"/>
                <w:i w:val="1"/>
                <w:sz w:val="24"/>
                <w:szCs w:val="24"/>
                <w:rtl w:val="0"/>
              </w:rPr>
              <w:t xml:space="preserve">Proceedings of the AAAI-98 Workshop on Learning for Text Classification</w:t>
            </w:r>
            <w:r w:rsidDel="00000000" w:rsidR="00000000" w:rsidRPr="00000000">
              <w:rPr>
                <w:rFonts w:ascii="Times New Roman" w:cs="Times New Roman" w:eastAsia="Times New Roman" w:hAnsi="Times New Roman"/>
                <w:i w:val="1"/>
                <w:sz w:val="24"/>
                <w:szCs w:val="24"/>
                <w:rtl w:val="0"/>
              </w:rPr>
              <w:t xml:space="preserve"> (pp. 41-48).</w:t>
            </w:r>
          </w:p>
          <w:p w:rsidR="00000000" w:rsidDel="00000000" w:rsidP="00000000" w:rsidRDefault="00000000" w:rsidRPr="00000000" w14:paraId="00000062">
            <w:pPr>
              <w:numPr>
                <w:ilvl w:val="0"/>
                <w:numId w:val="3"/>
              </w:numPr>
              <w:spacing w:after="0" w:afterAutospacing="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Rish, I. (2001). An Empirical Comparison of Classification Algorithms. In </w:t>
            </w:r>
            <w:r w:rsidDel="00000000" w:rsidR="00000000" w:rsidRPr="00000000">
              <w:rPr>
                <w:rFonts w:ascii="Times New Roman" w:cs="Times New Roman" w:eastAsia="Times New Roman" w:hAnsi="Times New Roman"/>
                <w:b w:val="1"/>
                <w:i w:val="1"/>
                <w:sz w:val="24"/>
                <w:szCs w:val="24"/>
                <w:rtl w:val="0"/>
              </w:rPr>
              <w:t xml:space="preserve">Proceedings of the 2001 Workshop on Text Mining</w:t>
            </w:r>
            <w:r w:rsidDel="00000000" w:rsidR="00000000" w:rsidRPr="00000000">
              <w:rPr>
                <w:rFonts w:ascii="Times New Roman" w:cs="Times New Roman" w:eastAsia="Times New Roman" w:hAnsi="Times New Roman"/>
                <w:i w:val="1"/>
                <w:sz w:val="24"/>
                <w:szCs w:val="24"/>
                <w:rtl w:val="0"/>
              </w:rPr>
              <w:t xml:space="preserve"> (pp. 41-46).</w:t>
            </w:r>
          </w:p>
          <w:p w:rsidR="00000000" w:rsidDel="00000000" w:rsidP="00000000" w:rsidRDefault="00000000" w:rsidRPr="00000000" w14:paraId="00000063">
            <w:pPr>
              <w:numPr>
                <w:ilvl w:val="0"/>
                <w:numId w:val="3"/>
              </w:numPr>
              <w:spacing w:after="0" w:afterAutospacing="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Pedregosa, F., et al. (2011). </w:t>
            </w:r>
            <w:r w:rsidDel="00000000" w:rsidR="00000000" w:rsidRPr="00000000">
              <w:rPr>
                <w:rFonts w:ascii="Times New Roman" w:cs="Times New Roman" w:eastAsia="Times New Roman" w:hAnsi="Times New Roman"/>
                <w:b w:val="1"/>
                <w:i w:val="1"/>
                <w:sz w:val="24"/>
                <w:szCs w:val="24"/>
                <w:rtl w:val="0"/>
              </w:rPr>
              <w:t xml:space="preserve">Scikit-learn: Machine Learning in Python</w:t>
            </w:r>
            <w:r w:rsidDel="00000000" w:rsidR="00000000" w:rsidRPr="00000000">
              <w:rPr>
                <w:rFonts w:ascii="Times New Roman" w:cs="Times New Roman" w:eastAsia="Times New Roman" w:hAnsi="Times New Roman"/>
                <w:i w:val="1"/>
                <w:sz w:val="24"/>
                <w:szCs w:val="24"/>
                <w:rtl w:val="0"/>
              </w:rPr>
              <w:t xml:space="preserve">. Journal of Machine Learning Research, 12, 2825-2830.</w:t>
            </w:r>
          </w:p>
          <w:p w:rsidR="00000000" w:rsidDel="00000000" w:rsidP="00000000" w:rsidRDefault="00000000" w:rsidRPr="00000000" w14:paraId="00000064">
            <w:pPr>
              <w:numPr>
                <w:ilvl w:val="0"/>
                <w:numId w:val="3"/>
              </w:numPr>
              <w:spacing w:after="240" w:before="0" w:beforeAutospacing="0" w:line="276" w:lineRule="auto"/>
              <w:ind w:left="720" w:hanging="360"/>
              <w:rPr>
                <w:rFonts w:ascii="Arial" w:cs="Arial" w:eastAsia="Arial" w:hAnsi="Arial"/>
                <w:i w:val="1"/>
                <w:sz w:val="24"/>
                <w:szCs w:val="24"/>
              </w:rPr>
            </w:pPr>
            <w:r w:rsidDel="00000000" w:rsidR="00000000" w:rsidRPr="00000000">
              <w:rPr>
                <w:rFonts w:ascii="Times New Roman" w:cs="Times New Roman" w:eastAsia="Times New Roman" w:hAnsi="Times New Roman"/>
                <w:i w:val="1"/>
                <w:sz w:val="24"/>
                <w:szCs w:val="24"/>
                <w:rtl w:val="0"/>
              </w:rPr>
              <w:t xml:space="preserve">Lemaître, G., et al. (2017). </w:t>
            </w:r>
            <w:r w:rsidDel="00000000" w:rsidR="00000000" w:rsidRPr="00000000">
              <w:rPr>
                <w:rFonts w:ascii="Times New Roman" w:cs="Times New Roman" w:eastAsia="Times New Roman" w:hAnsi="Times New Roman"/>
                <w:b w:val="1"/>
                <w:i w:val="1"/>
                <w:sz w:val="24"/>
                <w:szCs w:val="24"/>
                <w:rtl w:val="0"/>
              </w:rPr>
              <w:t xml:space="preserve">Imbalanced-learn: A Python Toolbox to Tackle the Curse of Imbalanced Datasets in Machine Learning</w:t>
            </w:r>
            <w:r w:rsidDel="00000000" w:rsidR="00000000" w:rsidRPr="00000000">
              <w:rPr>
                <w:rFonts w:ascii="Times New Roman" w:cs="Times New Roman" w:eastAsia="Times New Roman" w:hAnsi="Times New Roman"/>
                <w:i w:val="1"/>
                <w:sz w:val="24"/>
                <w:szCs w:val="24"/>
                <w:rtl w:val="0"/>
              </w:rPr>
              <w:t xml:space="preserve">. Journal of Machine Learning Research, 18(1), 559-563</w:t>
            </w:r>
            <w:r w:rsidDel="00000000" w:rsidR="00000000" w:rsidRPr="00000000">
              <w:rPr>
                <w:rtl w:val="0"/>
              </w:rPr>
            </w:r>
          </w:p>
        </w:tc>
      </w:tr>
    </w:tbl>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214"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