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InventoryMS</w:t>
      </w:r>
    </w:p>
    <w:p>
      <w:pPr>
        <w:pStyle w:val="Heading1"/>
        <w:spacing w:after="80"/>
      </w:pPr>
      <w:r>
        <w:t xml:space="preserve">Project Development Lifecycle</w:t>
      </w:r>
    </w:p>
    <w:p>
      <w:pPr>
        <w:spacing w:after="120"/>
      </w:pPr>
      <w:r>
        <w:rPr>
          <w:i/>
          <w:iCs/>
          <w:color w:val="6B7280"/>
        </w:rPr>
        <w:t xml:space="preserve">A chronological account of every working session in this project, from initial architectural planning through AWS deployment, iterative bug-fixing, infrastructure hardening, and Well-Architected Framework alignment.</w:t>
      </w:r>
    </w:p>
    <w:p>
      <w:pPr>
        <w:spacing w:after="120"/>
      </w:pPr>
      <w:r>
        <w:rPr>
          <w:color w:val="6B7280"/>
          <w:sz w:val="18"/>
          <w:szCs w:val="18"/>
        </w:rPr>
        <w:t xml:space="preserve">Compiled from all recorded project conversations, in chronological order, as of July 24, 2026.</w:t>
      </w:r>
    </w:p>
    <w:p>
      <w:pPr>
        <w:pBdr>
          <w:bottom w:val="single" w:color="D1D5DB" w:sz="6"/>
        </w:pBdr>
        <w:spacing w:after="240"/>
      </w:pPr>
    </w:p>
    <w:p>
      <w:pPr>
        <w:pStyle w:val="Heading1"/>
        <w:spacing w:after="160" w:before="320"/>
      </w:pPr>
      <w:r>
        <w:t xml:space="preserve">How to read this document</w:t>
      </w:r>
    </w:p>
    <w:p>
      <w:pPr>
        <w:spacing w:after="120"/>
      </w:pPr>
      <w:r>
        <w:t xml:space="preserve">Each session below reflects one working conversation in the project workspace. Sessions are numbered chronologically. For each session: the original query/context is summarized, issues raised are paired with their root cause and resolution in table form, and a short note explains that session's significance to the project's trajectory. Where a later session found that an earlier session's fix had not actually been committed to the codebase, that discrepancy is called out explicitly — verifying claims against the live, uploaded codebase before treating anything as resolved is a working principle established early in this project and applied throughout.</w:t>
      </w:r>
    </w:p>
    <w:p>
      <w:pPr>
        <w:pStyle w:val="Heading1"/>
        <w:spacing w:after="80" w:before="400"/>
      </w:pPr>
      <w:r>
        <w:t xml:space="preserve">Session 1 — Microservices Architecture — Foundational Discussion</w:t>
      </w:r>
    </w:p>
    <w:p>
      <w:pPr>
        <w:spacing w:after="120"/>
      </w:pPr>
      <w:r>
        <w:rPr>
          <w:i/>
          <w:iCs/>
          <w:color w:val="6B7280"/>
          <w:sz w:val="19"/>
          <w:szCs w:val="19"/>
        </w:rPr>
        <w:t xml:space="preserve">May 23, 2026</w:t>
      </w:r>
    </w:p>
    <w:p>
      <w:pPr>
        <w:spacing w:after="160"/>
      </w:pPr>
      <w:hyperlink w:history="1" r:id="rIdnst0fxtgclachkjfgokkt">
        <w:r>
          <w:rPr>
            <w:rStyle w:val="Hyperlink"/>
            <w:color w:val="2E5AAC"/>
          </w:rPr>
          <w:t xml:space="preserve">https://claude.ai/chat/d4463d5b-ad8d-4660-867d-b9431f7885a5</w:t>
        </w:r>
      </w:hyperlink>
    </w:p>
    <w:p>
      <w:pPr>
        <w:pStyle w:val="Heading3"/>
        <w:spacing w:after="100" w:before="200"/>
      </w:pPr>
      <w:r>
        <w:t xml:space="preserve">Query / context</w:t>
      </w:r>
    </w:p>
    <w:p>
      <w:pPr>
        <w:spacing w:after="120"/>
      </w:pPr>
      <w:r>
        <w:t xml:space="preserve">This was a foundational, pre-InventoryMS conversation. The developer described an intended stack (React frontend, Express/Node.js backend, SQL or NoSQL database) and asked whether true service isolation — where one service going down does not affect others — is achievable, and pushed back on an early answer by correctly noting that Docker provides infrastructure-level isolation, not code-level isolation.</w:t>
      </w:r>
    </w:p>
    <w:p>
      <w:pPr>
        <w:spacing w:after="120"/>
      </w:pPr>
      <w:r>
        <w:t xml:space="preserve">The developer then uploaded an unrelated existing project (a Ticket Booking Application) and asked for an honest assessment of whether it was containerized or monolithic, and whether it used domain-driven, code-level isolation.</w:t>
      </w:r>
    </w:p>
    <w:p>
      <w:pPr>
        <w:pStyle w:val="Heading3"/>
        <w:spacing w:after="100" w:before="200"/>
      </w:pPr>
      <w:r>
        <w:t xml:space="preserve">Issues raised &amp; resolved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1F2A44" w:val="clear"/>
            <w:tcMar>
              <w:top w:type="dxa" w:w="80"/>
              <w:left w:type="dxa" w:w="100"/>
              <w:bottom w:type="dxa" w:w="80"/>
              <w:right w:type="dxa" w:w="100"/>
            </w:tcMar>
          </w:tcPr>
          <w:p>
            <w:pPr>
              <w:jc w:val="left"/>
            </w:pPr>
            <w:r>
              <w:rPr>
                <w:b/>
                <w:bCs/>
                <w:color w:val="FFFFFF"/>
                <w:sz w:val="19"/>
                <w:szCs w:val="19"/>
              </w:rPr>
              <w:t xml:space="preserve">Issue</w:t>
            </w:r>
          </w:p>
        </w:tc>
        <w:tc>
          <w:tcPr>
            <w:tcW w:type="dxa" w:w="6000"/>
            <w:shd w:fill="1F2A44" w:val="clear"/>
            <w:tcMar>
              <w:top w:type="dxa" w:w="80"/>
              <w:left w:type="dxa" w:w="100"/>
              <w:bottom w:type="dxa" w:w="80"/>
              <w:right w:type="dxa" w:w="100"/>
            </w:tcMar>
          </w:tcPr>
          <w:p>
            <w:pPr>
              <w:jc w:val="left"/>
            </w:pPr>
            <w:r>
              <w:rPr>
                <w:b/>
                <w:bCs/>
                <w:color w:val="FFFFFF"/>
                <w:sz w:val="19"/>
                <w:szCs w:val="19"/>
              </w:rPr>
              <w:t xml:space="preserve">Root cause &amp; resolution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Confusing infrastructure isolation with code isolation</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Clarified three distinct layers: infrastructure (Docker containers), service (microservices pattern/network boundaries), and code (domain-driven modules communicating via an event bus, e.g. RabbitMQ/Redis, rather than direct imports).</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Assessing the uploaded Ticket Booking project</w:t>
            </w:r>
          </w:p>
        </w:tc>
        <w:tc>
          <w:tcPr>
            <w:tcW w:type="dxa" w:w="6000"/>
            <w:tcMar>
              <w:top w:type="dxa" w:w="80"/>
              <w:left w:type="dxa" w:w="100"/>
              <w:bottom w:type="dxa" w:w="80"/>
              <w:right w:type="dxa" w:w="100"/>
            </w:tcMar>
          </w:tcPr>
          <w:p>
            <w:pPr>
              <w:jc w:val="left"/>
            </w:pPr>
            <w:r>
              <w:rPr>
                <w:b w:val="false"/>
                <w:bCs w:val="false"/>
                <w:color w:val="111827"/>
                <w:sz w:val="19"/>
                <w:szCs w:val="19"/>
              </w:rPr>
              <w:t xml:space="preserve">Determined it is a "Dockerized Monolith": two containers only (MySQL + a backend that bundles the frontend via a Dockerfile COPY), plain HTML/vanilla JS rather than React, and layered MVC rather than DDD. Domains imported each other directly via require() (booking → seat, qr, coupon) and all models were exposed through one shared index.js — no code-level isolation.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Whether "Monolith First" is a mistake</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Confirmed it is a legitimate, common industry pattern for startups and mid-size companies, not something to be corrected by default.</w:t>
            </w:r>
          </w:p>
        </w:tc>
      </w:tr>
    </w:tbl>
    <w:p>
      <w:pPr>
        <w:spacing w:after="120"/>
      </w:pPr>
      <w:r>
        <w:t xml:space="preserve"/>
      </w:r>
    </w:p>
    <w:p>
      <w:pPr>
        <w:pStyle w:val="Heading3"/>
        <w:spacing w:after="100" w:before="200"/>
      </w:pPr>
      <w:r>
        <w:t xml:space="preserve">Significance</w:t>
      </w:r>
    </w:p>
    <w:p>
      <w:pPr>
        <w:spacing w:after="120"/>
      </w:pPr>
      <w:r>
        <w:t xml:space="preserve">This conversation was foundational rather than implementation work. It established the architectural vocabulary — infrastructure vs. service vs. code isolation, and the DDD four-layer pattern — that was deliberately applied from day one of InventoryMS in Session 2.</w:t>
      </w:r>
    </w:p>
    <w:p>
      <w:pPr>
        <w:pStyle w:val="Heading1"/>
        <w:spacing w:after="80" w:before="400"/>
      </w:pPr>
      <w:r>
        <w:t xml:space="preserve">Session 2 — New Project Architecture and Technology Planning</w:t>
      </w:r>
    </w:p>
    <w:p>
      <w:pPr>
        <w:spacing w:after="120"/>
      </w:pPr>
      <w:r>
        <w:rPr>
          <w:i/>
          <w:iCs/>
          <w:color w:val="6B7280"/>
          <w:sz w:val="19"/>
          <w:szCs w:val="19"/>
        </w:rPr>
        <w:t xml:space="preserve">May 24, 2026</w:t>
      </w:r>
    </w:p>
    <w:p>
      <w:pPr>
        <w:spacing w:after="160"/>
      </w:pPr>
      <w:hyperlink w:history="1" r:id="rId9eg3jusz1npxbpg7wcu1m">
        <w:r>
          <w:rPr>
            <w:rStyle w:val="Hyperlink"/>
            <w:color w:val="2E5AAC"/>
          </w:rPr>
          <w:t xml:space="preserve">https://claude.ai/chat/67a1125c-fd0d-4e0a-98f1-93c85e7531e8</w:t>
        </w:r>
      </w:hyperlink>
    </w:p>
    <w:p>
      <w:pPr>
        <w:pStyle w:val="Heading3"/>
        <w:spacing w:after="100" w:before="200"/>
      </w:pPr>
      <w:r>
        <w:t xml:space="preserve">Query / context</w:t>
      </w:r>
    </w:p>
    <w:p>
      <w:pPr>
        <w:spacing w:after="120"/>
      </w:pPr>
      <w:r>
        <w:t xml:space="preserve">InventoryMS build began from scratch. Initial scope: two Spring Boot services (auth-service :8081, inventory-service :8082), a React/Vite frontend, and MySQL, orchestrated via Docker Compose, on Windows with the project rooted at A:\AWS_Projects\inventory-system and pushed to github.com/Farhans-Lair/inventory-system.</w:t>
      </w:r>
    </w:p>
    <w:p>
      <w:pPr>
        <w:spacing w:after="120"/>
      </w:pPr>
      <w:r>
        <w:t xml:space="preserve">The DDD four-layer architecture (domain / application / infrastructure / interfaces) was implemented from the very first commit, with JWT authentication validated locally per service (no inter-service auth calls) and three roles established: ADMIN, WAREHOUSE_MANAGER, STAKEHOLDER.</w:t>
      </w:r>
    </w:p>
    <w:p>
      <w:pPr>
        <w:pStyle w:val="Heading3"/>
        <w:spacing w:after="100" w:before="200"/>
      </w:pPr>
      <w:r>
        <w:t xml:space="preserve">Issues raised &amp; resolved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1F2A44" w:val="clear"/>
            <w:tcMar>
              <w:top w:type="dxa" w:w="80"/>
              <w:left w:type="dxa" w:w="100"/>
              <w:bottom w:type="dxa" w:w="80"/>
              <w:right w:type="dxa" w:w="100"/>
            </w:tcMar>
          </w:tcPr>
          <w:p>
            <w:pPr>
              <w:jc w:val="left"/>
            </w:pPr>
            <w:r>
              <w:rPr>
                <w:b/>
                <w:bCs/>
                <w:color w:val="FFFFFF"/>
                <w:sz w:val="19"/>
                <w:szCs w:val="19"/>
              </w:rPr>
              <w:t xml:space="preserve">Issue</w:t>
            </w:r>
          </w:p>
        </w:tc>
        <w:tc>
          <w:tcPr>
            <w:tcW w:type="dxa" w:w="6000"/>
            <w:shd w:fill="1F2A44" w:val="clear"/>
            <w:tcMar>
              <w:top w:type="dxa" w:w="80"/>
              <w:left w:type="dxa" w:w="100"/>
              <w:bottom w:type="dxa" w:w="80"/>
              <w:right w:type="dxa" w:w="100"/>
            </w:tcMar>
          </w:tcPr>
          <w:p>
            <w:pPr>
              <w:jc w:val="left"/>
            </w:pPr>
            <w:r>
              <w:rPr>
                <w:b/>
                <w:bCs/>
                <w:color w:val="FFFFFF"/>
                <w:sz w:val="19"/>
                <w:szCs w:val="19"/>
              </w:rPr>
              <w:t xml:space="preserve">Root cause &amp; resolution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MySQL truncation error adding the STAKEHOLDER role</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Hibernate had generated a fixed-width ENUM column for the role field instead of VARCHAR. Fixed by adding columnDefinition = "varchar(50)" to the field.</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Product activate/deactivate toggle silently broken</w:t>
            </w:r>
          </w:p>
        </w:tc>
        <w:tc>
          <w:tcPr>
            <w:tcW w:type="dxa" w:w="6000"/>
            <w:tcMar>
              <w:top w:type="dxa" w:w="80"/>
              <w:left w:type="dxa" w:w="100"/>
              <w:bottom w:type="dxa" w:w="80"/>
              <w:right w:type="dxa" w:w="100"/>
            </w:tcMar>
          </w:tcPr>
          <w:p>
            <w:pPr>
              <w:jc w:val="left"/>
            </w:pPr>
            <w:r>
              <w:rPr>
                <w:b w:val="false"/>
                <w:bCs w:val="false"/>
                <w:color w:val="111827"/>
                <w:sz w:val="19"/>
                <w:szCs w:val="19"/>
              </w:rPr>
              <w:t xml:space="preserve">The frontend API client was calling the wrong method name against the backend endpoint.</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Multi-tab sessions bleeding into each other</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localStorage is shared across every tab of the same origin. Fixed by switching AuthContext and the API client to sessionStorage — the architectural root of the tab-isolated session model retained throughout the rest of the project.</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OTP-based two-step signup/login needed a dev-friendly fallback</w:t>
            </w:r>
          </w:p>
        </w:tc>
        <w:tc>
          <w:tcPr>
            <w:tcW w:type="dxa" w:w="6000"/>
            <w:tcMar>
              <w:top w:type="dxa" w:w="80"/>
              <w:left w:type="dxa" w:w="100"/>
              <w:bottom w:type="dxa" w:w="80"/>
              <w:right w:type="dxa" w:w="100"/>
            </w:tcMar>
          </w:tcPr>
          <w:p>
            <w:pPr>
              <w:jc w:val="left"/>
            </w:pPr>
            <w:r>
              <w:rPr>
                <w:b w:val="false"/>
                <w:bCs w:val="false"/>
                <w:color w:val="111827"/>
                <w:sz w:val="19"/>
                <w:szCs w:val="19"/>
              </w:rPr>
              <w:t xml:space="preserve">Implemented graceful email fallback: OTPs print to Docker container logs when SMTP is unconfigured, and deliver via Gmail SMTP when .env credentials are supplied (.env excluded from Git via .gitignore).</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Zip extraction landing files at the wrong directory depth</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A PowerShell Expand-Archive mistake put v2 changes at A:\AWS_Projects\auth-service\ instead of nested under the project root. Resolved by always matching -DestinationPath to the parent of the top-level folder inside the zip.</w:t>
            </w:r>
          </w:p>
        </w:tc>
      </w:tr>
    </w:tbl>
    <w:p>
      <w:pPr>
        <w:spacing w:after="120"/>
      </w:pPr>
      <w:r>
        <w:t xml:space="preserve"/>
      </w:r>
    </w:p>
    <w:p>
      <w:pPr>
        <w:pStyle w:val="Heading3"/>
        <w:spacing w:after="100" w:before="200"/>
      </w:pPr>
      <w:r>
        <w:t xml:space="preserve">Significance</w:t>
      </w:r>
    </w:p>
    <w:p>
      <w:pPr>
        <w:spacing w:after="120"/>
      </w:pPr>
      <w:r>
        <w:t xml:space="preserve">This session produced the working two-service MVP and the two foundational decisions that persisted for the rest of the project: sessionStorage-based tab isolation, and DDD layering enforced from the first commit. The developer's core working preferences also emerged here: receiving only changed files rather than full zips, and step-by-step confirmation before proceeding.</w:t>
      </w:r>
    </w:p>
    <w:p>
      <w:pPr>
        <w:pStyle w:val="Heading1"/>
        <w:spacing w:after="80" w:before="400"/>
      </w:pPr>
      <w:r>
        <w:t xml:space="preserve">Session 3 — Inventory Management System Architecture Review (v2.0 — AWS Deployment)</w:t>
      </w:r>
    </w:p>
    <w:p>
      <w:pPr>
        <w:spacing w:after="120"/>
      </w:pPr>
      <w:r>
        <w:rPr>
          <w:i/>
          <w:iCs/>
          <w:color w:val="6B7280"/>
          <w:sz w:val="19"/>
          <w:szCs w:val="19"/>
        </w:rPr>
        <w:t xml:space="preserve">June 8, 2026</w:t>
      </w:r>
    </w:p>
    <w:p>
      <w:pPr>
        <w:spacing w:after="160"/>
      </w:pPr>
      <w:hyperlink w:history="1" r:id="rId2mhqswawzbydtlj1odwkf">
        <w:r>
          <w:rPr>
            <w:rStyle w:val="Hyperlink"/>
            <w:color w:val="2E5AAC"/>
          </w:rPr>
          <w:t xml:space="preserve">https://claude.ai/chat/9f8487ba-6681-462c-be71-10daf3661249</w:t>
        </w:r>
      </w:hyperlink>
    </w:p>
    <w:p>
      <w:pPr>
        <w:pStyle w:val="Heading3"/>
        <w:spacing w:after="100" w:before="200"/>
      </w:pPr>
      <w:r>
        <w:t xml:space="preserve">Query / context</w:t>
      </w:r>
    </w:p>
    <w:p>
      <w:pPr>
        <w:spacing w:after="120"/>
      </w:pPr>
      <w:r>
        <w:t xml:space="preserve">The system had grown to InventoryMS v2.0: five Spring Boot microservices (auth :8081, inventory :8082, notification :8083, reporting :8084, supplier :8085) with separate RDS MySQL databases per service, a React Module Federation frontend (shell + 5 MFE remotes), S3 for image storage, and AWS ECS on EC2 with Auto Scaling. This was the project's first real AWS deployment push, covering Terraform, CI/CD, Docker builds, and frontend production wiring in one extended session.</w:t>
      </w:r>
    </w:p>
    <w:p>
      <w:pPr>
        <w:pStyle w:val="Heading3"/>
        <w:spacing w:after="100" w:before="200"/>
      </w:pPr>
      <w:r>
        <w:t xml:space="preserve">Issues raised &amp; resolved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1F2A44" w:val="clear"/>
            <w:tcMar>
              <w:top w:type="dxa" w:w="80"/>
              <w:left w:type="dxa" w:w="100"/>
              <w:bottom w:type="dxa" w:w="80"/>
              <w:right w:type="dxa" w:w="100"/>
            </w:tcMar>
          </w:tcPr>
          <w:p>
            <w:pPr>
              <w:jc w:val="left"/>
            </w:pPr>
            <w:r>
              <w:rPr>
                <w:b/>
                <w:bCs/>
                <w:color w:val="FFFFFF"/>
                <w:sz w:val="19"/>
                <w:szCs w:val="19"/>
              </w:rPr>
              <w:t xml:space="preserve">Issue</w:t>
            </w:r>
          </w:p>
        </w:tc>
        <w:tc>
          <w:tcPr>
            <w:tcW w:type="dxa" w:w="6000"/>
            <w:shd w:fill="1F2A44" w:val="clear"/>
            <w:tcMar>
              <w:top w:type="dxa" w:w="80"/>
              <w:left w:type="dxa" w:w="100"/>
              <w:bottom w:type="dxa" w:w="80"/>
              <w:right w:type="dxa" w:w="100"/>
            </w:tcMar>
          </w:tcPr>
          <w:p>
            <w:pPr>
              <w:jc w:val="left"/>
            </w:pPr>
            <w:r>
              <w:rPr>
                <w:b/>
                <w:bCs/>
                <w:color w:val="FFFFFF"/>
                <w:sz w:val="19"/>
                <w:szCs w:val="19"/>
              </w:rPr>
              <w:t xml:space="preserve">Root cause &amp; resolution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terraform destroy repeatedly failing</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ECR repos needed force_delete = true, RDS needed deletion_protection = false for the dev environment, and broken local-exec provisioners were replaced with a manual PowerShell teardown script.</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Fargate could not be made to work reliably</w:t>
            </w:r>
          </w:p>
        </w:tc>
        <w:tc>
          <w:tcPr>
            <w:tcW w:type="dxa" w:w="6000"/>
            <w:tcMar>
              <w:top w:type="dxa" w:w="80"/>
              <w:left w:type="dxa" w:w="100"/>
              <w:bottom w:type="dxa" w:w="80"/>
              <w:right w:type="dxa" w:w="100"/>
            </w:tcMar>
          </w:tcPr>
          <w:p>
            <w:pPr>
              <w:jc w:val="left"/>
            </w:pPr>
            <w:r>
              <w:rPr>
                <w:b w:val="false"/>
                <w:bCs w:val="false"/>
                <w:color w:val="111827"/>
                <w:sz w:val="19"/>
                <w:szCs w:val="19"/>
              </w:rPr>
              <w:t xml:space="preserve">Migrated ECS from Fargate to the EC2 launch type with Auto Scaling (t3.large × 3 instances), driven by ENI-per-task limits under Fargate's networking model.</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AWS credentials stored as long-lived GitHub secrets</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Set up GitHub Actions OIDC authentication, removing stored AWS keys entirely.</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Self-hosted Windows GitHub Actions runner was unreliable</w:t>
            </w:r>
          </w:p>
        </w:tc>
        <w:tc>
          <w:tcPr>
            <w:tcW w:type="dxa" w:w="6000"/>
            <w:tcMar>
              <w:top w:type="dxa" w:w="80"/>
              <w:left w:type="dxa" w:w="100"/>
              <w:bottom w:type="dxa" w:w="80"/>
              <w:right w:type="dxa" w:w="100"/>
            </w:tcMar>
          </w:tcPr>
          <w:p>
            <w:pPr>
              <w:jc w:val="left"/>
            </w:pPr>
            <w:r>
              <w:rPr>
                <w:b w:val="false"/>
                <w:bCs w:val="false"/>
                <w:color w:val="111827"/>
                <w:sz w:val="19"/>
                <w:szCs w:val="19"/>
              </w:rPr>
              <w:t xml:space="preserve">Migrated the CI/CD runner to ubuntu-latest GitHub-hosted runners.</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Numerous CI/CD build failures</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Fixed in sequence: Java 21 via actions/setup-java, a Docker build context using an .m2-stage staging pattern, mvn install -N for the parent POM, missing MinIO/ZXing dependencies in inventory-service's pom.xml, an authContext.js → .jsx rename, and process.env vs import.meta.env mismatches in vite.config.js files.</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503 errors in production</w:t>
            </w:r>
          </w:p>
        </w:tc>
        <w:tc>
          <w:tcPr>
            <w:tcW w:type="dxa" w:w="6000"/>
            <w:tcMar>
              <w:top w:type="dxa" w:w="80"/>
              <w:left w:type="dxa" w:w="100"/>
              <w:bottom w:type="dxa" w:w="80"/>
              <w:right w:type="dxa" w:w="100"/>
            </w:tcMar>
          </w:tcPr>
          <w:p>
            <w:pPr>
              <w:jc w:val="left"/>
            </w:pPr>
            <w:r>
              <w:rPr>
                <w:b w:val="false"/>
                <w:bCs w:val="false"/>
                <w:color w:val="111827"/>
                <w:sz w:val="19"/>
                <w:szCs w:val="19"/>
              </w:rPr>
              <w:t xml:space="preserve">Root-caused to nginx proxy_pass targeting non-existent Docker Compose hostnames, and separately to ENI exhaustion once EC2 desired count was raised to 3.</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Module Federation remoteEntry.js loading localhost:3001 in production</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Fixed by building every MFE with base: '/mfe/&lt;name&gt;/' and bundling all MFEs into one nginx image rather than running them as separate containers at runtime.</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workflow_dispatch button missing from GitHub Actions</w:t>
            </w:r>
          </w:p>
        </w:tc>
        <w:tc>
          <w:tcPr>
            <w:tcW w:type="dxa" w:w="6000"/>
            <w:tcMar>
              <w:top w:type="dxa" w:w="80"/>
              <w:left w:type="dxa" w:w="100"/>
              <w:bottom w:type="dxa" w:w="80"/>
              <w:right w:type="dxa" w:w="100"/>
            </w:tcMar>
          </w:tcPr>
          <w:p>
            <w:pPr>
              <w:jc w:val="left"/>
            </w:pPr>
            <w:r>
              <w:rPr>
                <w:b w:val="false"/>
                <w:bCs w:val="false"/>
                <w:color w:val="111827"/>
                <w:sz w:val="19"/>
                <w:szCs w:val="19"/>
              </w:rPr>
              <w:t xml:space="preserve">Root-caused to inline YAML syntax (with: { role-to-assume: ... }) disabling the trigger; the parser-breaking fix is to always use multi-line with: blocks — a rule that recurred in later sessions.</w:t>
            </w:r>
          </w:p>
        </w:tc>
      </w:tr>
    </w:tbl>
    <w:p>
      <w:pPr>
        <w:spacing w:after="120"/>
      </w:pPr>
      <w:r>
        <w:t xml:space="preserve"/>
      </w:r>
    </w:p>
    <w:p>
      <w:pPr>
        <w:pStyle w:val="Heading3"/>
        <w:spacing w:after="100" w:before="200"/>
      </w:pPr>
      <w:r>
        <w:t xml:space="preserve">Significance</w:t>
      </w:r>
    </w:p>
    <w:p>
      <w:pPr>
        <w:spacing w:after="120"/>
      </w:pPr>
      <w:r>
        <w:t xml:space="preserve">This was the project's transition from local Docker Compose to a real, if imperfect, AWS deployment. Most of the recurring debugging categories for the rest of the project — CI/CD YAML pitfalls, ENI exhaustion, and Module Federation production-vs-dev URL resolution — were first encountered and diagnosed here.</w:t>
      </w:r>
    </w:p>
    <w:p>
      <w:pPr>
        <w:pStyle w:val="Heading1"/>
        <w:spacing w:after="80" w:before="400"/>
      </w:pPr>
      <w:r>
        <w:t xml:space="preserve">Session 4 — Module Federation remoteEntry Script Loading Error</w:t>
      </w:r>
    </w:p>
    <w:p>
      <w:pPr>
        <w:spacing w:after="120"/>
      </w:pPr>
      <w:r>
        <w:rPr>
          <w:i/>
          <w:iCs/>
          <w:color w:val="6B7280"/>
          <w:sz w:val="19"/>
          <w:szCs w:val="19"/>
        </w:rPr>
        <w:t xml:space="preserve">June 23, 2026 (13:37)</w:t>
      </w:r>
    </w:p>
    <w:p>
      <w:pPr>
        <w:spacing w:after="160"/>
      </w:pPr>
      <w:hyperlink w:history="1" r:id="rIdpnt5e6brm9-1sqwjx3tj3">
        <w:r>
          <w:rPr>
            <w:rStyle w:val="Hyperlink"/>
            <w:color w:val="2E5AAC"/>
          </w:rPr>
          <w:t xml:space="preserve">https://claude.ai/chat/3808ba48-82c7-481f-bacf-64f14a5e1c5f</w:t>
        </w:r>
      </w:hyperlink>
    </w:p>
    <w:p>
      <w:pPr>
        <w:pStyle w:val="Heading3"/>
        <w:spacing w:after="100" w:before="200"/>
      </w:pPr>
      <w:r>
        <w:t xml:space="preserve">Query / context</w:t>
      </w:r>
    </w:p>
    <w:p>
      <w:pPr>
        <w:spacing w:after="120"/>
      </w:pPr>
      <w:r>
        <w:t xml:space="preserve">A long, multi-threaded session working through cascading CI/CD, frontend-loading, authentication, RBAC, and UI issues across the full five-service, five-MFE system. The developer's preference for root-cause explanation over surface patches, and explicit requests for token-efficient answers, are first strongly expressed in this session.</w:t>
      </w:r>
    </w:p>
    <w:p>
      <w:pPr>
        <w:pStyle w:val="Heading3"/>
        <w:spacing w:after="100" w:before="200"/>
      </w:pPr>
      <w:r>
        <w:t xml:space="preserve">Issues raised &amp; resolved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1F2A44" w:val="clear"/>
            <w:tcMar>
              <w:top w:type="dxa" w:w="80"/>
              <w:left w:type="dxa" w:w="100"/>
              <w:bottom w:type="dxa" w:w="80"/>
              <w:right w:type="dxa" w:w="100"/>
            </w:tcMar>
          </w:tcPr>
          <w:p>
            <w:pPr>
              <w:jc w:val="left"/>
            </w:pPr>
            <w:r>
              <w:rPr>
                <w:b/>
                <w:bCs/>
                <w:color w:val="FFFFFF"/>
                <w:sz w:val="19"/>
                <w:szCs w:val="19"/>
              </w:rPr>
              <w:t xml:space="preserve">Issue</w:t>
            </w:r>
          </w:p>
        </w:tc>
        <w:tc>
          <w:tcPr>
            <w:tcW w:type="dxa" w:w="6000"/>
            <w:shd w:fill="1F2A44" w:val="clear"/>
            <w:tcMar>
              <w:top w:type="dxa" w:w="80"/>
              <w:left w:type="dxa" w:w="100"/>
              <w:bottom w:type="dxa" w:w="80"/>
              <w:right w:type="dxa" w:w="100"/>
            </w:tcMar>
          </w:tcPr>
          <w:p>
            <w:pPr>
              <w:jc w:val="left"/>
            </w:pPr>
            <w:r>
              <w:rPr>
                <w:b/>
                <w:bCs/>
                <w:color w:val="FFFFFF"/>
                <w:sz w:val="19"/>
                <w:szCs w:val="19"/>
              </w:rPr>
              <w:t xml:space="preserve">Root cause &amp; resolution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CI/CD: missing devDependencies at build time</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NODE_ENV=production was causing npm install to skip Vite. Fixed by adjusting the install step to include devDependencies in CI.</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CI/CD: MFE build breaking on @module-federation/vite version drift</w:t>
            </w:r>
          </w:p>
        </w:tc>
        <w:tc>
          <w:tcPr>
            <w:tcW w:type="dxa" w:w="6000"/>
            <w:tcMar>
              <w:top w:type="dxa" w:w="80"/>
              <w:left w:type="dxa" w:w="100"/>
              <w:bottom w:type="dxa" w:w="80"/>
              <w:right w:type="dxa" w:w="100"/>
            </w:tcMar>
          </w:tcPr>
          <w:p>
            <w:pPr>
              <w:jc w:val="left"/>
            </w:pPr>
            <w:r>
              <w:rPr>
                <w:b w:val="false"/>
                <w:bCs w:val="false"/>
                <w:color w:val="111827"/>
                <w:sz w:val="19"/>
                <w:szCs w:val="19"/>
              </w:rPr>
              <w:t xml:space="preserve">Missing package-lock.json files let @module-federation/vite 1.16.x install and break the shell build; lockfiles were committed to pin versions.</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CI/CD: tsconfig.json error</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The federation plugin was attempting TypeScript type generation (dts) on a pure JSX project; disabled dts generation.</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MFE remoteEntry.js failing to load, in sequence</w:t>
            </w:r>
          </w:p>
        </w:tc>
        <w:tc>
          <w:tcPr>
            <w:tcW w:type="dxa" w:w="6000"/>
            <w:tcMar>
              <w:top w:type="dxa" w:w="80"/>
              <w:left w:type="dxa" w:w="100"/>
              <w:bottom w:type="dxa" w:w="80"/>
              <w:right w:type="dxa" w:w="100"/>
            </w:tcMar>
          </w:tcPr>
          <w:p>
            <w:pPr>
              <w:jc w:val="left"/>
            </w:pPr>
            <w:r>
              <w:rPr>
                <w:b w:val="false"/>
                <w:bCs w:val="false"/>
                <w:color w:val="111827"/>
                <w:sz w:val="19"/>
                <w:szCs w:val="19"/>
              </w:rPr>
              <w:t xml:space="preserve">Root causes found and fixed one after another: nginx alias + try_files resolving doubled paths; an incorrect /assets/remoteEntry.js suffix (the file actually lands at the dist root); remoteEntry.js being loaded as a classic script (type: var) when it is an ES module requiring type: module; and the esnext build target being dropped, breaking top-level-await compilation.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Authentication model change</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Migrated from HttpOnly-cookie-only auth to the tab-isolated hybrid retained in the final architecture: access tokens in sessionStorage via Authorization: Bearer, refresh tokens in HttpOnly cookies with rotation.</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RBAC gaps</w:t>
            </w:r>
          </w:p>
        </w:tc>
        <w:tc>
          <w:tcPr>
            <w:tcW w:type="dxa" w:w="6000"/>
            <w:tcMar>
              <w:top w:type="dxa" w:w="80"/>
              <w:left w:type="dxa" w:w="100"/>
              <w:bottom w:type="dxa" w:w="80"/>
              <w:right w:type="dxa" w:w="100"/>
            </w:tcMar>
          </w:tcPr>
          <w:p>
            <w:pPr>
              <w:jc w:val="left"/>
            </w:pPr>
            <w:r>
              <w:rPr>
                <w:b w:val="false"/>
                <w:bCs w:val="false"/>
                <w:color w:val="111827"/>
                <w:sz w:val="19"/>
                <w:szCs w:val="19"/>
              </w:rPr>
              <w:t xml:space="preserve">Added @PreAuthorize annotations across inventory-service controllers and built out a full Spring Security configuration for supplier-service, which previously had none.</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canWrite always false for every role inside federated pages</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Root-caused to Module Federation not sharing React Context across remote boundaries — the shell's AuthProvider wraps a different AuthContext instance than each MFE's own. Fixed by introducing the *Federated.jsx wrapper pattern that re-supplies each MFE's own AuthProvider — the pattern used by all twelve federated pages in the final codebase.</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UI redesign broke every button</w:t>
            </w:r>
          </w:p>
        </w:tc>
        <w:tc>
          <w:tcPr>
            <w:tcW w:type="dxa" w:w="6000"/>
            <w:tcMar>
              <w:top w:type="dxa" w:w="80"/>
              <w:left w:type="dxa" w:w="100"/>
              <w:bottom w:type="dxa" w:w="80"/>
              <w:right w:type="dxa" w:w="100"/>
            </w:tcMar>
          </w:tcPr>
          <w:p>
            <w:pPr>
              <w:jc w:val="left"/>
            </w:pPr>
            <w:r>
              <w:rPr>
                <w:b w:val="false"/>
                <w:bCs w:val="false"/>
                <w:color w:val="111827"/>
                <w:sz w:val="19"/>
                <w:szCs w:val="19"/>
              </w:rPr>
              <w:t xml:space="preserve">A new industrial-warehouse CSS token set replaced old token names (--primary, --danger, etc.) that were still referenced throughout the app; fixed with legacy alias declarations in index.css.</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README drifted from actual deployed behavior</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Rewritten to accurately reflect the AWS deployment, tab-isolated auth model, Module Federation wrapper architecture, and a role-permission matrix sourced directly from the live SecurityConfig files rather than from memory.</w:t>
            </w:r>
          </w:p>
        </w:tc>
      </w:tr>
    </w:tbl>
    <w:p>
      <w:pPr>
        <w:spacing w:after="120"/>
      </w:pPr>
      <w:r>
        <w:t xml:space="preserve"/>
      </w:r>
    </w:p>
    <w:p>
      <w:pPr>
        <w:pStyle w:val="Heading3"/>
        <w:spacing w:after="100" w:before="200"/>
      </w:pPr>
      <w:r>
        <w:t xml:space="preserve">Significance</w:t>
      </w:r>
    </w:p>
    <w:p>
      <w:pPr>
        <w:spacing w:after="120"/>
      </w:pPr>
      <w:r>
        <w:t xml:space="preserve">This session established the *Federated.jsx wrapper pattern and the tab-isolated hybrid auth model exactly as they exist in the current codebase. It is also where the developer's now-standing working principles were set: push back firmly on unverified claims ("are you sure?"), prioritize root cause over patching ("why did this happen?"), and control token usage relative to task complexity.</w:t>
      </w:r>
    </w:p>
    <w:p>
      <w:pPr>
        <w:pStyle w:val="Heading1"/>
        <w:spacing w:after="80" w:before="400"/>
      </w:pPr>
      <w:r>
        <w:t xml:space="preserve">Session 5 — Session Initialization — First Lifecycle &amp; Codebase Documentation Pass</w:t>
      </w:r>
    </w:p>
    <w:p>
      <w:pPr>
        <w:spacing w:after="120"/>
      </w:pPr>
      <w:r>
        <w:rPr>
          <w:i/>
          <w:iCs/>
          <w:color w:val="6B7280"/>
          <w:sz w:val="19"/>
          <w:szCs w:val="19"/>
        </w:rPr>
        <w:t xml:space="preserve">June 23, 2026 (18:38)</w:t>
      </w:r>
    </w:p>
    <w:p>
      <w:pPr>
        <w:spacing w:after="160"/>
      </w:pPr>
      <w:hyperlink w:history="1" r:id="rIdb2r37kekihk17vcgq0-ra">
        <w:r>
          <w:rPr>
            <w:rStyle w:val="Hyperlink"/>
            <w:color w:val="2E5AAC"/>
          </w:rPr>
          <w:t xml:space="preserve">https://claude.ai/chat/e9743e3a-c775-4171-bf37-74276d9c4637</w:t>
        </w:r>
      </w:hyperlink>
    </w:p>
    <w:p>
      <w:pPr>
        <w:pStyle w:val="Heading3"/>
        <w:spacing w:after="100" w:before="200"/>
      </w:pPr>
      <w:r>
        <w:t xml:space="preserve">Query / context</w:t>
      </w:r>
    </w:p>
    <w:p>
      <w:pPr>
        <w:spacing w:after="120"/>
      </w:pPr>
      <w:r>
        <w:t xml:space="preserve">The developer asked for exactly this pair of deliverables for the first time: a Project Development Lifecycle document and a Codebase Documentation reference, generated from all project chats to that point and cross-referenced against an uploaded project zip rather than trusted from memory.</w:t>
      </w:r>
    </w:p>
    <w:p>
      <w:pPr>
        <w:pStyle w:val="Heading3"/>
        <w:spacing w:after="100" w:before="200"/>
      </w:pPr>
      <w:r>
        <w:t xml:space="preserve">Issues raised &amp; resolved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1F2A44" w:val="clear"/>
            <w:tcMar>
              <w:top w:type="dxa" w:w="80"/>
              <w:left w:type="dxa" w:w="100"/>
              <w:bottom w:type="dxa" w:w="80"/>
              <w:right w:type="dxa" w:w="100"/>
            </w:tcMar>
          </w:tcPr>
          <w:p>
            <w:pPr>
              <w:jc w:val="left"/>
            </w:pPr>
            <w:r>
              <w:rPr>
                <w:b/>
                <w:bCs/>
                <w:color w:val="FFFFFF"/>
                <w:sz w:val="19"/>
                <w:szCs w:val="19"/>
              </w:rPr>
              <w:t xml:space="preserve">Issue</w:t>
            </w:r>
          </w:p>
        </w:tc>
        <w:tc>
          <w:tcPr>
            <w:tcW w:type="dxa" w:w="6000"/>
            <w:shd w:fill="1F2A44" w:val="clear"/>
            <w:tcMar>
              <w:top w:type="dxa" w:w="80"/>
              <w:left w:type="dxa" w:w="100"/>
              <w:bottom w:type="dxa" w:w="80"/>
              <w:right w:type="dxa" w:w="100"/>
            </w:tcMar>
          </w:tcPr>
          <w:p>
            <w:pPr>
              <w:jc w:val="left"/>
            </w:pPr>
            <w:r>
              <w:rPr>
                <w:b/>
                <w:bCs/>
                <w:color w:val="FFFFFF"/>
                <w:sz w:val="19"/>
                <w:szCs w:val="19"/>
              </w:rPr>
              <w:t xml:space="preserve">Root cause &amp; resolution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Verifying prior claims against the live codebase</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Cross-referenced the MinIO-to-S3 SDK migration, the nginx root vs. alias fix, all twelve *Federated.jsx wrapper files, a .dockerignore naming correction, Spring Security returning 401 rather than 403, maven-surefire-plugin configuration, OIDC GitHub Actions wiring, and EC2 instance count — all against the actual uploaded zip contents.</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Discrepancy found: favicon fix not actually committed</w:t>
            </w:r>
          </w:p>
        </w:tc>
        <w:tc>
          <w:tcPr>
            <w:tcW w:type="dxa" w:w="6000"/>
            <w:tcMar>
              <w:top w:type="dxa" w:w="80"/>
              <w:left w:type="dxa" w:w="100"/>
              <w:bottom w:type="dxa" w:w="80"/>
              <w:right w:type="dxa" w:w="100"/>
            </w:tcMar>
          </w:tcPr>
          <w:p>
            <w:pPr>
              <w:jc w:val="left"/>
            </w:pPr>
            <w:r>
              <w:rPr>
                <w:b w:val="false"/>
                <w:bCs w:val="false"/>
                <w:color w:val="111827"/>
                <w:sz w:val="19"/>
                <w:szCs w:val="19"/>
              </w:rPr>
              <w:t xml:space="preserve">frontend/shell/public/favicon.svg and the public/ directory did not exist in the uploaded codebase, despite the previous session concluding the fix was applied — meaning a 404 on every page load remained live. Flagged explicitly rather than assumed resolved.</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Structural finding: shared-lib mostly unused</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shared-lib's JwtUtil, ApiResponse, and exception classes were not imported by any of the five services at the time, despite every service declaring the Maven dependency — shared-lib was a build-order dependency only, not a code dependency.</w:t>
            </w:r>
          </w:p>
        </w:tc>
      </w:tr>
    </w:tbl>
    <w:p>
      <w:pPr>
        <w:spacing w:after="120"/>
      </w:pPr>
      <w:r>
        <w:t xml:space="preserve"/>
      </w:r>
    </w:p>
    <w:p>
      <w:pPr>
        <w:pStyle w:val="Heading3"/>
        <w:spacing w:after="100" w:before="200"/>
      </w:pPr>
      <w:r>
        <w:t xml:space="preserve">Significance</w:t>
      </w:r>
    </w:p>
    <w:p>
      <w:pPr>
        <w:spacing w:after="120"/>
      </w:pPr>
      <w:r>
        <w:t xml:space="preserve">This session is the direct precedent for the current documentation request, and it is the origin of the project's now-explicit working principle: never trust a prior session's claim that something was fixed — always re-verify against the freshly uploaded zip. The favicon and shared-lib gaps it identified were tracked forward and later resolved (see Sessions 6 and 8).</w:t>
      </w:r>
    </w:p>
    <w:p>
      <w:pPr>
        <w:pStyle w:val="Heading1"/>
        <w:spacing w:after="80" w:before="400"/>
      </w:pPr>
      <w:r>
        <w:t xml:space="preserve">Session 6 — Dashboard Module Loading Errors on Refresh</w:t>
      </w:r>
    </w:p>
    <w:p>
      <w:pPr>
        <w:spacing w:after="120"/>
      </w:pPr>
      <w:r>
        <w:rPr>
          <w:i/>
          <w:iCs/>
          <w:color w:val="6B7280"/>
          <w:sz w:val="19"/>
          <w:szCs w:val="19"/>
        </w:rPr>
        <w:t xml:space="preserve">June 26, 2026</w:t>
      </w:r>
    </w:p>
    <w:p>
      <w:pPr>
        <w:spacing w:after="160"/>
      </w:pPr>
      <w:hyperlink w:history="1" r:id="rIdnsit3yavzj25tes_c4vno">
        <w:r>
          <w:rPr>
            <w:rStyle w:val="Hyperlink"/>
            <w:color w:val="2E5AAC"/>
          </w:rPr>
          <w:t xml:space="preserve">https://claude.ai/chat/2139e332-c0a0-4a81-801f-5bda53357826</w:t>
        </w:r>
      </w:hyperlink>
    </w:p>
    <w:p>
      <w:pPr>
        <w:pStyle w:val="Heading3"/>
        <w:spacing w:after="100" w:before="200"/>
      </w:pPr>
      <w:r>
        <w:t xml:space="preserve">Query / context</w:t>
      </w:r>
    </w:p>
    <w:p>
      <w:pPr>
        <w:spacing w:after="120"/>
      </w:pPr>
      <w:r>
        <w:t xml:space="preserve">Presenting issue: dashboard modules failing to load on page refresh with "This module cannot be loaded" errors and 502/503 responses. The developer supplied CI/CD logs, CloudWatch logs, ECS service events, ALB target-group health, and browser console errors throughout, and held a hard constraint that the CI/CD pipeline must never be broken by a fix.</w:t>
      </w:r>
    </w:p>
    <w:p>
      <w:pPr>
        <w:pStyle w:val="Heading3"/>
        <w:spacing w:after="100" w:before="200"/>
      </w:pPr>
      <w:r>
        <w:t xml:space="preserve">Issues raised &amp; resolved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1F2A44" w:val="clear"/>
            <w:tcMar>
              <w:top w:type="dxa" w:w="80"/>
              <w:left w:type="dxa" w:w="100"/>
              <w:bottom w:type="dxa" w:w="80"/>
              <w:right w:type="dxa" w:w="100"/>
            </w:tcMar>
          </w:tcPr>
          <w:p>
            <w:pPr>
              <w:jc w:val="left"/>
            </w:pPr>
            <w:r>
              <w:rPr>
                <w:b/>
                <w:bCs/>
                <w:color w:val="FFFFFF"/>
                <w:sz w:val="19"/>
                <w:szCs w:val="19"/>
              </w:rPr>
              <w:t xml:space="preserve">Issue</w:t>
            </w:r>
          </w:p>
        </w:tc>
        <w:tc>
          <w:tcPr>
            <w:tcW w:type="dxa" w:w="6000"/>
            <w:shd w:fill="1F2A44" w:val="clear"/>
            <w:tcMar>
              <w:top w:type="dxa" w:w="80"/>
              <w:left w:type="dxa" w:w="100"/>
              <w:bottom w:type="dxa" w:w="80"/>
              <w:right w:type="dxa" w:w="100"/>
            </w:tcMar>
          </w:tcPr>
          <w:p>
            <w:pPr>
              <w:jc w:val="left"/>
            </w:pPr>
            <w:r>
              <w:rPr>
                <w:b/>
                <w:bCs/>
                <w:color w:val="FFFFFF"/>
                <w:sz w:val="19"/>
                <w:szCs w:val="19"/>
              </w:rPr>
              <w:t xml:space="preserve">Root cause &amp; resolution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inventory-service crashing at startup</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MinioStorageService failed against empty AWS credentials in production. Rewritten to use AWS SDK's DefaultCredentialsProvider so it transparently picks up the ECS task's IAM role.</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auth-service health checks returning 403</w:t>
            </w:r>
          </w:p>
        </w:tc>
        <w:tc>
          <w:tcPr>
            <w:tcW w:type="dxa" w:w="6000"/>
            <w:tcMar>
              <w:top w:type="dxa" w:w="80"/>
              <w:left w:type="dxa" w:w="100"/>
              <w:bottom w:type="dxa" w:w="80"/>
              <w:right w:type="dxa" w:w="100"/>
            </w:tcMar>
          </w:tcPr>
          <w:p>
            <w:pPr>
              <w:jc w:val="left"/>
            </w:pPr>
            <w:r>
              <w:rPr>
                <w:b w:val="false"/>
                <w:bCs w:val="false"/>
                <w:color w:val="111827"/>
                <w:sz w:val="19"/>
                <w:szCs w:val="19"/>
              </w:rPr>
              <w:t xml:space="preserve">The ALB health-check path had been changed to /actuator/health/readiness without adding it to Spring Security's permitAll list.</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StockPage crashing for every role</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stock-mfe's authContext.jsx used createContext(null) instead of a default-value object, so any consumer rendered before the provider mounted threw.</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Supplier target group showing no registered targets</w:t>
            </w:r>
          </w:p>
        </w:tc>
        <w:tc>
          <w:tcPr>
            <w:tcW w:type="dxa" w:w="6000"/>
            <w:tcMar>
              <w:top w:type="dxa" w:w="80"/>
              <w:left w:type="dxa" w:w="100"/>
              <w:bottom w:type="dxa" w:w="80"/>
              <w:right w:type="dxa" w:w="100"/>
            </w:tcMar>
          </w:tcPr>
          <w:p>
            <w:pPr>
              <w:jc w:val="left"/>
            </w:pPr>
            <w:r>
              <w:rPr>
                <w:b w:val="false"/>
                <w:bCs w:val="false"/>
                <w:color w:val="111827"/>
                <w:sz w:val="19"/>
                <w:szCs w:val="19"/>
              </w:rPr>
              <w:t xml:space="preserve">Diagnosed as ENI exhaustion: 3 ENIs per t3.large instance × 2 desired instances left only 4 task slots for 6 services. Fixed short-term by raising ec2_desired_instances to 3.</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Persistent 403 in the console even when the dashboard worked</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Root-caused to Spring Security returning 403 instead of 401 for unauthenticated requests, due to a missing AuthenticationEntryPoint — the axios interceptor only watches for 401, so refresh was never triggered.</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Users logged out immediately after login (cascading bug)</w:t>
            </w:r>
          </w:p>
        </w:tc>
        <w:tc>
          <w:tcPr>
            <w:tcW w:type="dxa" w:w="6000"/>
            <w:tcMar>
              <w:top w:type="dxa" w:w="80"/>
              <w:left w:type="dxa" w:w="100"/>
              <w:bottom w:type="dxa" w:w="80"/>
              <w:right w:type="dxa" w:w="100"/>
            </w:tcMar>
          </w:tcPr>
          <w:p>
            <w:pPr>
              <w:jc w:val="left"/>
            </w:pPr>
            <w:r>
              <w:rPr>
                <w:b w:val="false"/>
                <w:bCs w:val="false"/>
                <w:color w:val="111827"/>
                <w:sz w:val="19"/>
                <w:szCs w:val="19"/>
              </w:rPr>
              <w:t xml:space="preserve">Fixing the 403→401 issue exposed a deeper bug: COOKIE_SECURE=true was set in ecs.tf while the ALB was HTTP-only, so the browser stored the refresh cookie but never sent it back over plain HTTP. This had previously been masked by the earlier 403 (requests never reaching a live backend) and, once services were healthy, silently swallowed by a .catch(). Fixed by setting COOKIE_SECURE=false to match the HTTP-only ALB.</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CI/CD build failure from a bad automated file edit</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A Python string-replacement script had accidentally written auth-service's SecurityConfig content into inventory-service's SecurityConfig file (wrong package, wrong JwtAuthFilter import). Fixed by rewriting the correct file directly.</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maven-surefire-plugin hanging indefinitely in CI</w:t>
            </w:r>
          </w:p>
        </w:tc>
        <w:tc>
          <w:tcPr>
            <w:tcW w:type="dxa" w:w="6000"/>
            <w:tcMar>
              <w:top w:type="dxa" w:w="80"/>
              <w:left w:type="dxa" w:w="100"/>
              <w:bottom w:type="dxa" w:w="80"/>
              <w:right w:type="dxa" w:w="100"/>
            </w:tcMar>
          </w:tcPr>
          <w:p>
            <w:pPr>
              <w:jc w:val="left"/>
            </w:pPr>
            <w:r>
              <w:rPr>
                <w:b w:val="false"/>
                <w:bCs w:val="false"/>
                <w:color w:val="111827"/>
                <w:sz w:val="19"/>
                <w:szCs w:val="19"/>
              </w:rPr>
              <w:t xml:space="preserve">No JUnit platform provider was on the classpath for supplier-service, auth-service, and reporting-service. Fixed by adding spring-boot-starter-test and explicit surefire configuration to all three pom.xml files.</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favicon.svg 404 (carried over from Session 5)</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Created frontend/shell/public/favicon.svg and corrected nginx cache-control rules so immutable caching does not apply to the unhashed favicon filename.</w:t>
            </w:r>
          </w:p>
        </w:tc>
      </w:tr>
    </w:tbl>
    <w:p>
      <w:pPr>
        <w:spacing w:after="120"/>
      </w:pPr>
      <w:r>
        <w:t xml:space="preserve"/>
      </w:r>
    </w:p>
    <w:p>
      <w:pPr>
        <w:pStyle w:val="Heading3"/>
        <w:spacing w:after="100" w:before="200"/>
      </w:pPr>
      <w:r>
        <w:t xml:space="preserve">Significance</w:t>
      </w:r>
    </w:p>
    <w:p>
      <w:pPr>
        <w:spacing w:after="120"/>
      </w:pPr>
      <w:r>
        <w:t xml:space="preserve">This is the project's deepest cascading-bug session: a chain in which fixing the 403/401 distinction exposed the COOKIE_SECURE/HTTP mismatch, which had itself been masked by two earlier layers of failure. It hardened the developer's now-standard debugging workflow (ECS service events → stopped task ARN → CloudWatch logs → exact Spring Boot error) and closed out the favicon gap flagged in Session 5. The session concluded with a nine-area infrastructure improvement pass: consolidating 2 NAT Gateways to 1, consolidating 4 separate RDS instances into 1 shared instance with 4 schemas, wiring Secrets Manager into ECS task definitions, scoping security groups down from 0–65535 to actual service ports, restricting S3 CORS to the ALB DNS name, and raising desired counts with a minimum healthy percent for zero-downtime deploys.</w:t>
      </w:r>
    </w:p>
    <w:p>
      <w:pPr>
        <w:pStyle w:val="Heading1"/>
        <w:spacing w:after="80" w:before="400"/>
      </w:pPr>
      <w:r>
        <w:t xml:space="preserve">Session 7 — AWS Well-Architected Framework Infrastructure Review</w:t>
      </w:r>
    </w:p>
    <w:p>
      <w:pPr>
        <w:spacing w:after="120"/>
      </w:pPr>
      <w:r>
        <w:rPr>
          <w:i/>
          <w:iCs/>
          <w:color w:val="6B7280"/>
          <w:sz w:val="19"/>
          <w:szCs w:val="19"/>
        </w:rPr>
        <w:t xml:space="preserve">July 21, 2026</w:t>
      </w:r>
    </w:p>
    <w:p>
      <w:pPr>
        <w:spacing w:after="160"/>
      </w:pPr>
      <w:hyperlink w:history="1" r:id="rIdeq0mmcv5ejj0txvfnu3sy">
        <w:r>
          <w:rPr>
            <w:rStyle w:val="Hyperlink"/>
            <w:color w:val="2E5AAC"/>
          </w:rPr>
          <w:t xml:space="preserve">https://claude.ai/chat/be30b75e-1949-4b40-ad28-451c67f8930d</w:t>
        </w:r>
      </w:hyperlink>
    </w:p>
    <w:p>
      <w:pPr>
        <w:pStyle w:val="Heading3"/>
        <w:spacing w:after="100" w:before="200"/>
      </w:pPr>
      <w:r>
        <w:t xml:space="preserve">Query / context</w:t>
      </w:r>
    </w:p>
    <w:p>
      <w:pPr>
        <w:spacing w:after="120"/>
      </w:pPr>
      <w:r>
        <w:t xml:space="preserve">A structured review against the AWS Well-Architected Framework's six pillars, followed by iterative implementation of specific recommendations. The developer explicitly excluded the S3 Terraform-backend migration from this pass, and required every codebase claim to be verified against actual file contents before Claude acted on it.</w:t>
      </w:r>
    </w:p>
    <w:p>
      <w:pPr>
        <w:pStyle w:val="Heading3"/>
        <w:spacing w:after="100" w:before="200"/>
      </w:pPr>
      <w:r>
        <w:t xml:space="preserve">Issues raised &amp; resolved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1F2A44" w:val="clear"/>
            <w:tcMar>
              <w:top w:type="dxa" w:w="80"/>
              <w:left w:type="dxa" w:w="100"/>
              <w:bottom w:type="dxa" w:w="80"/>
              <w:right w:type="dxa" w:w="100"/>
            </w:tcMar>
          </w:tcPr>
          <w:p>
            <w:pPr>
              <w:jc w:val="left"/>
            </w:pPr>
            <w:r>
              <w:rPr>
                <w:b/>
                <w:bCs/>
                <w:color w:val="FFFFFF"/>
                <w:sz w:val="19"/>
                <w:szCs w:val="19"/>
              </w:rPr>
              <w:t xml:space="preserve">Issue</w:t>
            </w:r>
          </w:p>
        </w:tc>
        <w:tc>
          <w:tcPr>
            <w:tcW w:type="dxa" w:w="6000"/>
            <w:shd w:fill="1F2A44" w:val="clear"/>
            <w:tcMar>
              <w:top w:type="dxa" w:w="80"/>
              <w:left w:type="dxa" w:w="100"/>
              <w:bottom w:type="dxa" w:w="80"/>
              <w:right w:type="dxa" w:w="100"/>
            </w:tcMar>
          </w:tcPr>
          <w:p>
            <w:pPr>
              <w:jc w:val="left"/>
            </w:pPr>
            <w:r>
              <w:rPr>
                <w:b/>
                <w:bCs/>
                <w:color w:val="FFFFFF"/>
                <w:sz w:val="19"/>
                <w:szCs w:val="19"/>
              </w:rPr>
              <w:t xml:space="preserve">Root cause &amp; resolution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Reliability: single-instance services with no alarms</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notification, reporting, and supplier services raised from desired_count=1 to desired_count=2 with rolling-deployment configuration; CloudWatch task-count alarms added for every previously unmonitored service.</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Security: no managed WAF rules, no HTTPS path</w:t>
            </w:r>
          </w:p>
        </w:tc>
        <w:tc>
          <w:tcPr>
            <w:tcW w:type="dxa" w:w="6000"/>
            <w:tcMar>
              <w:top w:type="dxa" w:w="80"/>
              <w:left w:type="dxa" w:w="100"/>
              <w:bottom w:type="dxa" w:w="80"/>
              <w:right w:type="dxa" w:w="100"/>
            </w:tcMar>
          </w:tcPr>
          <w:p>
            <w:pPr>
              <w:jc w:val="left"/>
            </w:pPr>
            <w:r>
              <w:rPr>
                <w:b w:val="false"/>
                <w:bCs w:val="false"/>
                <w:color w:val="111827"/>
                <w:sz w:val="19"/>
                <w:szCs w:val="19"/>
              </w:rPr>
              <w:t xml:space="preserve">Added AWS managed rule groups (CommonRuleSet, SQLiRuleSet, KnownBadInputsRuleSet) alongside the existing auth rate-limit rule; added optional HTTPS via ACM + Route 53, gated on a domain_name variable so it stays inactive (and cost-free) by default.</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Performance: reporting queries competing with transactional load</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Added an RDS read replica dedicated to reporting-service.</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Cost: uniform CPU/memory across services regardless of load</w:t>
            </w:r>
          </w:p>
        </w:tc>
        <w:tc>
          <w:tcPr>
            <w:tcW w:type="dxa" w:w="6000"/>
            <w:tcMar>
              <w:top w:type="dxa" w:w="80"/>
              <w:left w:type="dxa" w:w="100"/>
              <w:bottom w:type="dxa" w:w="80"/>
              <w:right w:type="dxa" w:w="100"/>
            </w:tcMar>
          </w:tcPr>
          <w:p>
            <w:pPr>
              <w:jc w:val="left"/>
            </w:pPr>
            <w:r>
              <w:rPr>
                <w:b w:val="false"/>
                <w:bCs w:val="false"/>
                <w:color w:val="111827"/>
                <w:sz w:val="19"/>
                <w:szCs w:val="19"/>
              </w:rPr>
              <w:t xml:space="preserve">Replaced flat per-service allocation with right-sized CPU/memory per service.</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Operational excellence: no documented recovery process</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Authored a rollback runbook.</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EC2 capacity for the new task counts</w:t>
            </w:r>
          </w:p>
        </w:tc>
        <w:tc>
          <w:tcPr>
            <w:tcW w:type="dxa" w:w="6000"/>
            <w:tcMar>
              <w:top w:type="dxa" w:w="80"/>
              <w:left w:type="dxa" w:w="100"/>
              <w:bottom w:type="dxa" w:w="80"/>
              <w:right w:type="dxa" w:w="100"/>
            </w:tcMar>
          </w:tcPr>
          <w:p>
            <w:pPr>
              <w:jc w:val="left"/>
            </w:pPr>
            <w:r>
              <w:rPr>
                <w:b w:val="false"/>
                <w:bCs w:val="false"/>
                <w:color w:val="111827"/>
                <w:sz w:val="19"/>
                <w:szCs w:val="19"/>
              </w:rPr>
              <w:t xml:space="preserve">Instance count raised from 4 to 6 to accommodate the increase in steady-state ECS tasks (8 → 11) driven by the desired_count=2 changes.</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Single combined JWT secret</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Split into three separate, purpose-bound secrets (session/access/refresh) via a new JwtTokenType enum and an updated shared-lib JwtUtil; auth-service received a new JwtConfig with three qualified beans, and AuthService was rewritten to issue and validate session tokens through the OTP flow and to rotate refresh tokens with reuse detection (replay of a revoked token revokes all sessions). Refresh tokens changed from opaque UUIDs to signed JWTs carrying a jti claim. Frontend LoginPage.jsx, SignupPage.jsx, and ForgotPasswordPage.jsx were updated to capture and forward the sessionToken through the two-step flows.</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Secrets Manager cost and syntax overhead</w:t>
            </w:r>
          </w:p>
        </w:tc>
        <w:tc>
          <w:tcPr>
            <w:tcW w:type="dxa" w:w="6000"/>
            <w:tcMar>
              <w:top w:type="dxa" w:w="80"/>
              <w:left w:type="dxa" w:w="100"/>
              <w:bottom w:type="dxa" w:w="80"/>
              <w:right w:type="dxa" w:w="100"/>
            </w:tcMar>
          </w:tcPr>
          <w:p>
            <w:pPr>
              <w:jc w:val="left"/>
            </w:pPr>
            <w:r>
              <w:rPr>
                <w:b w:val="false"/>
                <w:bCs w:val="false"/>
                <w:color w:val="111827"/>
                <w:sz w:val="19"/>
                <w:szCs w:val="19"/>
              </w:rPr>
              <w:t xml:space="preserve">Migrated from a single combined Secrets Manager JSON blob to five individual SSM Parameter Store SecureString parameters, with IAM policy updates for ssm:GetParameters and kms:Decrypt, and every ecs.tf valueFrom reference updated from Secrets-Manager ARN+key syntax to plain SSM parameter ARNs.</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OIDC authentication failing in GitHub Actions despite the provider existing</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Initial diagnoses were incorrect and were corrected once the developer confirmed the actual state of created resources. Root cause: an AWS account ID mismatch — the OIDC provider and IAM role existed in account 349744179793 (the active CLI account), but deploy.yml hardcoded a different account ID (453551850734) in AWS_ROLE_ARN. Fixed by updating the ARN in deploy.yml.</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Incomplete OIDC file migration</w:t>
            </w:r>
          </w:p>
        </w:tc>
        <w:tc>
          <w:tcPr>
            <w:tcW w:type="dxa" w:w="6000"/>
            <w:tcMar>
              <w:top w:type="dxa" w:w="80"/>
              <w:left w:type="dxa" w:w="100"/>
              <w:bottom w:type="dxa" w:w="80"/>
              <w:right w:type="dxa" w:w="100"/>
            </w:tcMar>
          </w:tcPr>
          <w:p>
            <w:pPr>
              <w:jc w:val="left"/>
            </w:pPr>
            <w:r>
              <w:rPr>
                <w:b w:val="false"/>
                <w:bCs w:val="false"/>
                <w:color w:val="111827"/>
                <w:sz w:val="19"/>
                <w:szCs w:val="19"/>
              </w:rPr>
              <w:t xml:space="preserve">A commit had deleted oidc.tf without merging its resources into iam.tf, which would have caused Terraform to plan destruction of the OIDC provider and GitHub Actions role on the next apply. Flagged before it caused an outage.</w:t>
            </w:r>
          </w:p>
        </w:tc>
      </w:tr>
    </w:tbl>
    <w:p>
      <w:pPr>
        <w:spacing w:after="120"/>
      </w:pPr>
      <w:r>
        <w:t xml:space="preserve"/>
      </w:r>
    </w:p>
    <w:p>
      <w:pPr>
        <w:pStyle w:val="Heading3"/>
        <w:spacing w:after="100" w:before="200"/>
      </w:pPr>
      <w:r>
        <w:t xml:space="preserve">Significance</w:t>
      </w:r>
    </w:p>
    <w:p>
      <w:pPr>
        <w:spacing w:after="120"/>
      </w:pPr>
      <w:r>
        <w:t xml:space="preserve">This session moved the project from "working AWS deployment" to a structured Well-Architected posture across all six pillars, and is the origin of the current three-secret JWT model and SSM-based secrets management verified in the codebase. It is also a clear example of the developer's insistence on verified fact over inference — Claude's incorrect early assumptions about the OIDC failure were explicitly corrected mid-session.</w:t>
      </w:r>
    </w:p>
    <w:p>
      <w:pPr>
        <w:pStyle w:val="Heading1"/>
        <w:spacing w:after="80" w:before="400"/>
      </w:pPr>
      <w:r>
        <w:t xml:space="preserve">Session 8 — Workflow Dispatch Not Showing &amp; Admin Limit Restriction</w:t>
      </w:r>
    </w:p>
    <w:p>
      <w:pPr>
        <w:spacing w:after="120"/>
      </w:pPr>
      <w:r>
        <w:rPr>
          <w:i/>
          <w:iCs/>
          <w:color w:val="6B7280"/>
          <w:sz w:val="19"/>
          <w:szCs w:val="19"/>
        </w:rPr>
        <w:t xml:space="preserve">July 22, 2026</w:t>
      </w:r>
    </w:p>
    <w:p>
      <w:pPr>
        <w:spacing w:after="160"/>
      </w:pPr>
      <w:hyperlink w:history="1" r:id="rIdb9g3xve_kqeejddypsbhy">
        <w:r>
          <w:rPr>
            <w:rStyle w:val="Hyperlink"/>
            <w:color w:val="2E5AAC"/>
          </w:rPr>
          <w:t xml:space="preserve">https://claude.ai/chat/54cb80f7-1b02-453d-bcab-daa1b7dc3712</w:t>
        </w:r>
      </w:hyperlink>
    </w:p>
    <w:p>
      <w:pPr>
        <w:pStyle w:val="Heading3"/>
        <w:spacing w:after="100" w:before="200"/>
      </w:pPr>
      <w:r>
        <w:t xml:space="preserve">Query / context</w:t>
      </w:r>
    </w:p>
    <w:p>
      <w:pPr>
        <w:spacing w:after="120"/>
      </w:pPr>
      <w:r>
        <w:t xml:space="preserve">The largest single session of the project, spanning CI/CD fixes, feature work (2-admin bootstrap, CSV report archival), a full gap analysis of the codebase, shared-lib consolidation, and an 11-item infrastructure-hardening batch — all while maintaining the constraint that CI/CD must always keep working and everything must be assessed from a fresh-deployment point of view rather than assuming a warm running system.</w:t>
      </w:r>
    </w:p>
    <w:p>
      <w:pPr>
        <w:pStyle w:val="Heading3"/>
        <w:spacing w:after="100" w:before="200"/>
      </w:pPr>
      <w:r>
        <w:t xml:space="preserve">Issues raised &amp; resolved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1F2A44" w:val="clear"/>
            <w:tcMar>
              <w:top w:type="dxa" w:w="80"/>
              <w:left w:type="dxa" w:w="100"/>
              <w:bottom w:type="dxa" w:w="80"/>
              <w:right w:type="dxa" w:w="100"/>
            </w:tcMar>
          </w:tcPr>
          <w:p>
            <w:pPr>
              <w:jc w:val="left"/>
            </w:pPr>
            <w:r>
              <w:rPr>
                <w:b/>
                <w:bCs/>
                <w:color w:val="FFFFFF"/>
                <w:sz w:val="19"/>
                <w:szCs w:val="19"/>
              </w:rPr>
              <w:t xml:space="preserve">Issue</w:t>
            </w:r>
          </w:p>
        </w:tc>
        <w:tc>
          <w:tcPr>
            <w:tcW w:type="dxa" w:w="6000"/>
            <w:shd w:fill="1F2A44" w:val="clear"/>
            <w:tcMar>
              <w:top w:type="dxa" w:w="80"/>
              <w:left w:type="dxa" w:w="100"/>
              <w:bottom w:type="dxa" w:w="80"/>
              <w:right w:type="dxa" w:w="100"/>
            </w:tcMar>
          </w:tcPr>
          <w:p>
            <w:pPr>
              <w:jc w:val="left"/>
            </w:pPr>
            <w:r>
              <w:rPr>
                <w:b/>
                <w:bCs/>
                <w:color w:val="FFFFFF"/>
                <w:sz w:val="19"/>
                <w:szCs w:val="19"/>
              </w:rPr>
              <w:t xml:space="preserve">Root cause &amp; resolution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workflow_dispatch button missing (recurrence of the Session 3 root cause)</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Orphaned YAML at the top of deploy.yml was again disabling the trigger; corrected.</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No cap on admin account creation</w:t>
            </w:r>
          </w:p>
        </w:tc>
        <w:tc>
          <w:tcPr>
            <w:tcW w:type="dxa" w:w="6000"/>
            <w:tcMar>
              <w:top w:type="dxa" w:w="80"/>
              <w:left w:type="dxa" w:w="100"/>
              <w:bottom w:type="dxa" w:w="80"/>
              <w:right w:type="dxa" w:w="100"/>
            </w:tcMar>
          </w:tcPr>
          <w:p>
            <w:pPr>
              <w:jc w:val="left"/>
            </w:pPr>
            <w:r>
              <w:rPr>
                <w:b w:val="false"/>
                <w:bCs w:val="false"/>
                <w:color w:val="111827"/>
                <w:sz w:val="19"/>
                <w:szCs w:val="19"/>
              </w:rPr>
              <w:t xml:space="preserve">Implemented the 2-admin bootstrap model retained in the final system: the first admin can self-register via public signup; every subsequent admin must be created by an existing admin.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CSV reports not retained anywhere</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Added S3 archival for generated reports, organized into module-specific folders.</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Gap analysis surfaced dead and missing features</w:t>
            </w:r>
          </w:p>
        </w:tc>
        <w:tc>
          <w:tcPr>
            <w:tcW w:type="dxa" w:w="6000"/>
            <w:tcMar>
              <w:top w:type="dxa" w:w="80"/>
              <w:left w:type="dxa" w:w="100"/>
              <w:bottom w:type="dxa" w:w="80"/>
              <w:right w:type="dxa" w:w="100"/>
            </w:tcMar>
          </w:tcPr>
          <w:p>
            <w:pPr>
              <w:jc w:val="left"/>
            </w:pPr>
            <w:r>
              <w:rPr>
                <w:b w:val="false"/>
                <w:bCs w:val="false"/>
                <w:color w:val="111827"/>
                <w:sz w:val="19"/>
                <w:szCs w:val="19"/>
              </w:rPr>
              <w:t xml:space="preserve">Identified backend features with no UI coverage (stock reservations UI, GRN goods-receipt UI) for future prioritization.</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Duplicate JWT provider classes across services</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Consolidated three independent JwtTokenProvider classes into shared-lib's JwtUtil — the structural gap flagged in Session 5 as shared-lib being unused.</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auth-service Maven build failing with "duplicated in the reactor"</w:t>
            </w:r>
          </w:p>
        </w:tc>
        <w:tc>
          <w:tcPr>
            <w:tcW w:type="dxa" w:w="6000"/>
            <w:tcMar>
              <w:top w:type="dxa" w:w="80"/>
              <w:left w:type="dxa" w:w="100"/>
              <w:bottom w:type="dxa" w:w="80"/>
              <w:right w:type="dxa" w:w="100"/>
            </w:tcMar>
          </w:tcPr>
          <w:p>
            <w:pPr>
              <w:jc w:val="left"/>
            </w:pPr>
            <w:r>
              <w:rPr>
                <w:b w:val="false"/>
                <w:bCs w:val="false"/>
                <w:color w:val="111827"/>
                <w:sz w:val="19"/>
                <w:szCs w:val="19"/>
              </w:rPr>
              <w:t xml:space="preserve">auth-service/pom.xml had been corrupted, overwritten with shared-lib/pom.xml content; fixed by rewriting the correct file.</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BIT(1) vs TINYINT(1) crash on startup</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Hibernate 6 throws SchemaManagementException against BIT(1) boolean columns created by Flyway on MySQL; migrations standardized on TINYINT(1).</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@Qualifier silently ignored on Lombok-generated constructors</w:t>
            </w:r>
          </w:p>
        </w:tc>
        <w:tc>
          <w:tcPr>
            <w:tcW w:type="dxa" w:w="6000"/>
            <w:tcMar>
              <w:top w:type="dxa" w:w="80"/>
              <w:left w:type="dxa" w:w="100"/>
              <w:bottom w:type="dxa" w:w="80"/>
              <w:right w:type="dxa" w:w="100"/>
            </w:tcMar>
          </w:tcPr>
          <w:p>
            <w:pPr>
              <w:jc w:val="left"/>
            </w:pPr>
            <w:r>
              <w:rPr>
                <w:b w:val="false"/>
                <w:bCs w:val="false"/>
                <w:color w:val="111827"/>
                <w:sz w:val="19"/>
                <w:szCs w:val="19"/>
              </w:rPr>
              <w:t xml:space="preserve">@Qualifier annotations on @RequiredArgsConstructor fields are not transferred to the generated constructor, causing UnsatisfiedDependencyException: expected single matching bean but found 3 for JwtUtil. Fixed with explicit manual constructors where multiple beans of the same type exist.</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JWT secrets in SSM too short for JJWT's HS256 requirement</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Secrets below 256 bits are rejected by JJWT at runtime; regenerated with openssl rand -base64 64.</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X-Ray SDK incompatible with Spring Boot 3</w:t>
            </w:r>
          </w:p>
        </w:tc>
        <w:tc>
          <w:tcPr>
            <w:tcW w:type="dxa" w:w="6000"/>
            <w:tcMar>
              <w:top w:type="dxa" w:w="80"/>
              <w:left w:type="dxa" w:w="100"/>
              <w:bottom w:type="dxa" w:w="80"/>
              <w:right w:type="dxa" w:w="100"/>
            </w:tcMar>
          </w:tcPr>
          <w:p>
            <w:pPr>
              <w:jc w:val="left"/>
            </w:pPr>
            <w:r>
              <w:rPr>
                <w:b w:val="false"/>
                <w:bCs w:val="false"/>
                <w:color w:val="111827"/>
                <w:sz w:val="19"/>
                <w:szCs w:val="19"/>
              </w:rPr>
              <w:t xml:space="preserve">AWSXRayServletFilter from the AWS X-Ray SDK 2.x uses javax.servlet, incompatible with Spring Boot 3's jakarta.servlet without a shim or SDK upgrade; addressed as part of the X-Ray rollout.</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Missing comma in SecurityConfig.java's permitAll list</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Syntax error silently mis-scoping permitted endpoints; fixed.</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Terraform/CI-CD bootstrap ordering ('chicken-and-egg')</w:t>
            </w:r>
          </w:p>
        </w:tc>
        <w:tc>
          <w:tcPr>
            <w:tcW w:type="dxa" w:w="6000"/>
            <w:tcMar>
              <w:top w:type="dxa" w:w="80"/>
              <w:left w:type="dxa" w:w="100"/>
              <w:bottom w:type="dxa" w:w="80"/>
              <w:right w:type="dxa" w:w="100"/>
            </w:tcMar>
          </w:tcPr>
          <w:p>
            <w:pPr>
              <w:jc w:val="left"/>
            </w:pPr>
            <w:r>
              <w:rPr>
                <w:b w:val="false"/>
                <w:bCs w:val="false"/>
                <w:color w:val="111827"/>
                <w:sz w:val="19"/>
                <w:szCs w:val="19"/>
              </w:rPr>
              <w:t xml:space="preserve">Implemented a terraform -target bootstrap sequence and an infra-check guard in the pipeline that gracefully skips deploy jobs when infrastructure isn't ready yet, plus a [skip ci] commit convention for controlled sequencing.</w:t>
            </w:r>
          </w:p>
        </w:tc>
      </w:tr>
      <w:tr>
        <w:tc>
          <w:tcPr>
            <w:tcW w:type="dxa" w:w="3600"/>
            <w:shd w:fill="EEF2F8" w:val="clear"/>
            <w:tcMar>
              <w:top w:type="dxa" w:w="80"/>
              <w:left w:type="dxa" w:w="100"/>
              <w:bottom w:type="dxa" w:w="80"/>
              <w:right w:type="dxa" w:w="100"/>
            </w:tcMar>
          </w:tcPr>
          <w:p>
            <w:pPr>
              <w:jc w:val="left"/>
            </w:pPr>
            <w:r>
              <w:rPr>
                <w:b w:val="false"/>
                <w:bCs w:val="false"/>
                <w:color w:val="111827"/>
                <w:sz w:val="19"/>
                <w:szCs w:val="19"/>
              </w:rPr>
              <w:t xml:space="preserve">terraform.tfvars drift from actual variable definitions</w:t>
            </w:r>
          </w:p>
        </w:tc>
        <w:tc>
          <w:tcPr>
            <w:tcW w:type="dxa" w:w="6000"/>
            <w:shd w:fill="EEF2F8" w:val="clear"/>
            <w:tcMar>
              <w:top w:type="dxa" w:w="80"/>
              <w:left w:type="dxa" w:w="100"/>
              <w:bottom w:type="dxa" w:w="80"/>
              <w:right w:type="dxa" w:w="100"/>
            </w:tcMar>
          </w:tcPr>
          <w:p>
            <w:pPr>
              <w:jc w:val="left"/>
            </w:pPr>
            <w:r>
              <w:rPr>
                <w:b w:val="false"/>
                <w:bCs w:val="false"/>
                <w:color w:val="111827"/>
                <w:sz w:val="19"/>
                <w:szCs w:val="19"/>
              </w:rPr>
              <w:t xml:space="preserve">Corrected undeclared service_cpu/service_memory variables, a single jwt_secret variable where three separate secrets are now required, an incorrect db.t3.micro instance class, and an insufficient ec2_desired_instances=3; updated .env.example and terraform.tfvars.example to serve as accurate templates for a fresh deployment.</w:t>
            </w:r>
          </w:p>
        </w:tc>
      </w:tr>
      <w:tr>
        <w:tc>
          <w:tcPr>
            <w:tcW w:type="dxa" w:w="3600"/>
            <w:tcMar>
              <w:top w:type="dxa" w:w="80"/>
              <w:left w:type="dxa" w:w="100"/>
              <w:bottom w:type="dxa" w:w="80"/>
              <w:right w:type="dxa" w:w="100"/>
            </w:tcMar>
          </w:tcPr>
          <w:p>
            <w:pPr>
              <w:jc w:val="left"/>
            </w:pPr>
            <w:r>
              <w:rPr>
                <w:b w:val="false"/>
                <w:bCs w:val="false"/>
                <w:color w:val="111827"/>
                <w:sz w:val="19"/>
                <w:szCs w:val="19"/>
              </w:rPr>
              <w:t xml:space="preserve">Infrastructure hardening batch (11 items)</w:t>
            </w:r>
          </w:p>
        </w:tc>
        <w:tc>
          <w:tcPr>
            <w:tcW w:type="dxa" w:w="6000"/>
            <w:tcMar>
              <w:top w:type="dxa" w:w="80"/>
              <w:left w:type="dxa" w:w="100"/>
              <w:bottom w:type="dxa" w:w="80"/>
              <w:right w:type="dxa" w:w="100"/>
            </w:tcMar>
          </w:tcPr>
          <w:p>
            <w:pPr>
              <w:jc w:val="left"/>
            </w:pPr>
            <w:r>
              <w:rPr>
                <w:b w:val="false"/>
                <w:bCs w:val="false"/>
                <w:color w:val="111827"/>
                <w:sz w:val="19"/>
                <w:szCs w:val="19"/>
              </w:rPr>
              <w:t xml:space="preserve">Flyway migrations replacing ddl-auto=update; Spring Caffeine caching on read-heavy endpoints; AWS X-Ray tracing; WAF rate-limiting on auth endpoints; VPC flow logs to S3; CloudWatch alarms; S3 versioning; ECR IMMUTABLE tags; ECS Capacity Provider target tracking; SSM Parameter Store replacing Secrets Manager.</w:t>
            </w:r>
          </w:p>
        </w:tc>
      </w:tr>
    </w:tbl>
    <w:p>
      <w:pPr>
        <w:spacing w:after="120"/>
      </w:pPr>
      <w:r>
        <w:t xml:space="preserve"/>
      </w:r>
    </w:p>
    <w:p>
      <w:pPr>
        <w:pStyle w:val="Heading3"/>
        <w:spacing w:after="100" w:before="200"/>
      </w:pPr>
      <w:r>
        <w:t xml:space="preserve">Significance</w:t>
      </w:r>
    </w:p>
    <w:p>
      <w:pPr>
        <w:spacing w:after="120"/>
      </w:pPr>
      <w:r>
        <w:t xml:space="preserve">This session brought the codebase to the state verified in the current documentation pass: the shared-lib gap from Session 5 was closed, the debugging workflow matured into a repeatable ECS-events → CloudWatch-logs pattern, and the infrastructure-hardening batch produced most of the resilience and observability features (Flyway, caching, X-Ray, WAF, CloudWatch alarms) present in the system today.</w:t>
      </w:r>
    </w:p>
    <w:p>
      <w:pPr>
        <w:pStyle w:val="Heading1"/>
        <w:spacing w:after="80" w:before="400"/>
      </w:pPr>
      <w:r>
        <w:t xml:space="preserve">Session 9 — Documentation Regeneration (Current Session)</w:t>
      </w:r>
    </w:p>
    <w:p>
      <w:pPr>
        <w:spacing w:after="120"/>
      </w:pPr>
      <w:r>
        <w:rPr>
          <w:i/>
          <w:iCs/>
          <w:color w:val="6B7280"/>
          <w:sz w:val="19"/>
          <w:szCs w:val="19"/>
        </w:rPr>
        <w:t xml:space="preserve">July 24, 2026</w:t>
      </w:r>
    </w:p>
    <w:p>
      <w:pPr>
        <w:pStyle w:val="Heading3"/>
        <w:spacing w:after="100" w:before="200"/>
      </w:pPr>
      <w:r>
        <w:t xml:space="preserve">Query / context</w:t>
      </w:r>
    </w:p>
    <w:p>
      <w:pPr>
        <w:spacing w:after="120"/>
      </w:pPr>
      <w:r>
        <w:t xml:space="preserve">The developer requested three formal Word documents generated from the latest uploaded project codebase and this full chat history: a regenerated README, this Development Lifecycle document, and a Technical Flow &amp; Function Reference. Per the project's standing working principle, the uploaded zip was cross-referenced against prior claims before writing any content.</w:t>
      </w:r>
    </w:p>
    <w:p>
      <w:pPr>
        <w:pStyle w:val="Heading3"/>
        <w:spacing w:after="100" w:before="200"/>
      </w:pPr>
      <w:r>
        <w:t xml:space="preserve">Verification findings</w:t>
      </w:r>
    </w:p>
    <w:p>
      <w:pPr>
        <w:pStyle w:val="ListParagraph"/>
        <w:numPr>
          <w:ilvl w:val="0"/>
          <w:numId w:val="1"/>
        </w:numPr>
        <w:spacing w:after="60"/>
      </w:pPr>
      <w:r>
        <w:t xml:space="preserve">The favicon gap flagged as unresolved in Session 5 is now closed — frontend/shell/public/favicon.svg exists in the current codebase.</w:t>
      </w:r>
    </w:p>
    <w:p>
      <w:pPr>
        <w:pStyle w:val="ListParagraph"/>
        <w:numPr>
          <w:ilvl w:val="0"/>
          <w:numId w:val="1"/>
        </w:numPr>
        <w:spacing w:after="60"/>
      </w:pPr>
      <w:r>
        <w:t xml:space="preserve">The existing in-repo README.md was found to be stale: it still described a single combined JWT_SECRET and AWS Secrets Manager for secret storage. The live terraform/secrets.tf and .env.example confirm the system has since moved to three independent JWT secrets (session/access/refresh) and five SSM Parameter Store SecureString parameters, as implemented in Session 7. The regenerated README reflects the verified, current state.</w:t>
      </w:r>
    </w:p>
    <w:p>
      <w:pPr>
        <w:pStyle w:val="ListParagraph"/>
        <w:numPr>
          <w:ilvl w:val="0"/>
          <w:numId w:val="1"/>
        </w:numPr>
        <w:spacing w:after="60"/>
      </w:pPr>
      <w:r>
        <w:t xml:space="preserve">Current infrastructure figures were re-confirmed directly against terraform/*.tf: all five backend ECS services run desired_count=2 (frontend desired_count=1), a dedicated RDS read replica exists for reporting-service, WAF carries three AWS managed rule groups plus the auth rate-limit rule, HTTPS/ACM is present but conditionally provisioned via a domain_name variable, and the EC2 fleet default is 6 desired instances (min 1, max 7).</w:t>
      </w:r>
    </w:p>
    <w:p>
      <w:pPr>
        <w:pBdr>
          <w:bottom w:val="single" w:color="D1D5DB" w:sz="6"/>
        </w:pBdr>
        <w:spacing w:after="240"/>
      </w:pPr>
    </w:p>
    <w:p>
      <w:pPr>
        <w:pStyle w:val="Heading1"/>
        <w:spacing w:after="160" w:before="320"/>
      </w:pPr>
      <w:r>
        <w:t xml:space="preserve">Summary timeline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400"/>
      </w:tblGrid>
      <w:tr>
        <w:trPr>
          <w:tblHeader/>
        </w:trPr>
        <w:tc>
          <w:tcPr>
            <w:tcW w:type="dxa" w:w="1800"/>
            <w:shd w:fill="1F2A44" w:val="clear"/>
            <w:tcMar>
              <w:top w:type="dxa" w:w="80"/>
              <w:left w:type="dxa" w:w="100"/>
              <w:bottom w:type="dxa" w:w="80"/>
              <w:right w:type="dxa" w:w="100"/>
            </w:tcMar>
          </w:tcPr>
          <w:p>
            <w:pPr>
              <w:jc w:val="left"/>
            </w:pPr>
            <w:r>
              <w:rPr>
                <w:b/>
                <w:bCs/>
                <w:color w:val="FFFFFF"/>
                <w:sz w:val="19"/>
                <w:szCs w:val="19"/>
              </w:rPr>
              <w:t xml:space="preserve">Date</w:t>
            </w:r>
          </w:p>
        </w:tc>
        <w:tc>
          <w:tcPr>
            <w:tcW w:type="dxa" w:w="2400"/>
            <w:shd w:fill="1F2A44" w:val="clear"/>
            <w:tcMar>
              <w:top w:type="dxa" w:w="80"/>
              <w:left w:type="dxa" w:w="100"/>
              <w:bottom w:type="dxa" w:w="80"/>
              <w:right w:type="dxa" w:w="100"/>
            </w:tcMar>
          </w:tcPr>
          <w:p>
            <w:pPr>
              <w:jc w:val="left"/>
            </w:pPr>
            <w:r>
              <w:rPr>
                <w:b/>
                <w:bCs/>
                <w:color w:val="FFFFFF"/>
                <w:sz w:val="19"/>
                <w:szCs w:val="19"/>
              </w:rPr>
              <w:t xml:space="preserve">Session</w:t>
            </w:r>
          </w:p>
        </w:tc>
        <w:tc>
          <w:tcPr>
            <w:tcW w:type="dxa" w:w="5400"/>
            <w:shd w:fill="1F2A44" w:val="clear"/>
            <w:tcMar>
              <w:top w:type="dxa" w:w="80"/>
              <w:left w:type="dxa" w:w="100"/>
              <w:bottom w:type="dxa" w:w="80"/>
              <w:right w:type="dxa" w:w="100"/>
            </w:tcMar>
          </w:tcPr>
          <w:p>
            <w:pPr>
              <w:jc w:val="left"/>
            </w:pPr>
            <w:r>
              <w:rPr>
                <w:b/>
                <w:bCs/>
                <w:color w:val="FFFFFF"/>
                <w:sz w:val="19"/>
                <w:szCs w:val="19"/>
              </w:rPr>
              <w:t xml:space="preserve">Headline outcome</w:t>
            </w:r>
          </w:p>
        </w:tc>
      </w:tr>
      <w:tr>
        <w:tc>
          <w:tcPr>
            <w:tcW w:type="dxa" w:w="1800"/>
            <w:shd w:fill="EEF2F8" w:val="clear"/>
            <w:tcMar>
              <w:top w:type="dxa" w:w="80"/>
              <w:left w:type="dxa" w:w="100"/>
              <w:bottom w:type="dxa" w:w="80"/>
              <w:right w:type="dxa" w:w="100"/>
            </w:tcMar>
          </w:tcPr>
          <w:p>
            <w:pPr>
              <w:jc w:val="left"/>
            </w:pPr>
            <w:r>
              <w:rPr>
                <w:b w:val="false"/>
                <w:bCs w:val="false"/>
                <w:color w:val="111827"/>
                <w:sz w:val="19"/>
                <w:szCs w:val="19"/>
              </w:rPr>
              <w:t xml:space="preserve">May 23, 2026</w:t>
            </w:r>
          </w:p>
        </w:tc>
        <w:tc>
          <w:tcPr>
            <w:tcW w:type="dxa" w:w="2400"/>
            <w:shd w:fill="EEF2F8" w:val="clear"/>
            <w:tcMar>
              <w:top w:type="dxa" w:w="80"/>
              <w:left w:type="dxa" w:w="100"/>
              <w:bottom w:type="dxa" w:w="80"/>
              <w:right w:type="dxa" w:w="100"/>
            </w:tcMar>
          </w:tcPr>
          <w:p>
            <w:pPr>
              <w:jc w:val="left"/>
            </w:pPr>
            <w:r>
              <w:rPr>
                <w:b w:val="false"/>
                <w:bCs w:val="false"/>
                <w:color w:val="111827"/>
                <w:sz w:val="19"/>
                <w:szCs w:val="19"/>
              </w:rPr>
              <w:t xml:space="preserve">1 — Foundational</w:t>
            </w:r>
          </w:p>
        </w:tc>
        <w:tc>
          <w:tcPr>
            <w:tcW w:type="dxa" w:w="5400"/>
            <w:shd w:fill="EEF2F8" w:val="clear"/>
            <w:tcMar>
              <w:top w:type="dxa" w:w="80"/>
              <w:left w:type="dxa" w:w="100"/>
              <w:bottom w:type="dxa" w:w="80"/>
              <w:right w:type="dxa" w:w="100"/>
            </w:tcMar>
          </w:tcPr>
          <w:p>
            <w:pPr>
              <w:jc w:val="left"/>
            </w:pPr>
            <w:r>
              <w:rPr>
                <w:b w:val="false"/>
                <w:bCs w:val="false"/>
                <w:color w:val="111827"/>
                <w:sz w:val="19"/>
                <w:szCs w:val="19"/>
              </w:rPr>
              <w:t xml:space="preserve">Established infrastructure vs. code isolation vocabulary and DDD framing</w:t>
            </w:r>
          </w:p>
        </w:tc>
      </w:tr>
      <w:tr>
        <w:tc>
          <w:tcPr>
            <w:tcW w:type="dxa" w:w="1800"/>
            <w:tcMar>
              <w:top w:type="dxa" w:w="80"/>
              <w:left w:type="dxa" w:w="100"/>
              <w:bottom w:type="dxa" w:w="80"/>
              <w:right w:type="dxa" w:w="100"/>
            </w:tcMar>
          </w:tcPr>
          <w:p>
            <w:pPr>
              <w:jc w:val="left"/>
            </w:pPr>
            <w:r>
              <w:rPr>
                <w:b w:val="false"/>
                <w:bCs w:val="false"/>
                <w:color w:val="111827"/>
                <w:sz w:val="19"/>
                <w:szCs w:val="19"/>
              </w:rPr>
              <w:t xml:space="preserve">May 24, 2026</w:t>
            </w:r>
          </w:p>
        </w:tc>
        <w:tc>
          <w:tcPr>
            <w:tcW w:type="dxa" w:w="2400"/>
            <w:tcMar>
              <w:top w:type="dxa" w:w="80"/>
              <w:left w:type="dxa" w:w="100"/>
              <w:bottom w:type="dxa" w:w="80"/>
              <w:right w:type="dxa" w:w="100"/>
            </w:tcMar>
          </w:tcPr>
          <w:p>
            <w:pPr>
              <w:jc w:val="left"/>
            </w:pPr>
            <w:r>
              <w:rPr>
                <w:b w:val="false"/>
                <w:bCs w:val="false"/>
                <w:color w:val="111827"/>
                <w:sz w:val="19"/>
                <w:szCs w:val="19"/>
              </w:rPr>
              <w:t xml:space="preserve">2 — Architecture &amp; Planning</w:t>
            </w:r>
          </w:p>
        </w:tc>
        <w:tc>
          <w:tcPr>
            <w:tcW w:type="dxa" w:w="5400"/>
            <w:tcMar>
              <w:top w:type="dxa" w:w="80"/>
              <w:left w:type="dxa" w:w="100"/>
              <w:bottom w:type="dxa" w:w="80"/>
              <w:right w:type="dxa" w:w="100"/>
            </w:tcMar>
          </w:tcPr>
          <w:p>
            <w:pPr>
              <w:jc w:val="left"/>
            </w:pPr>
            <w:r>
              <w:rPr>
                <w:b w:val="false"/>
                <w:bCs w:val="false"/>
                <w:color w:val="111827"/>
                <w:sz w:val="19"/>
                <w:szCs w:val="19"/>
              </w:rPr>
              <w:t xml:space="preserve">Built the 2-service MVP; sessionStorage tab isolation and DDD layering established</w:t>
            </w:r>
          </w:p>
        </w:tc>
      </w:tr>
      <w:tr>
        <w:tc>
          <w:tcPr>
            <w:tcW w:type="dxa" w:w="1800"/>
            <w:shd w:fill="EEF2F8" w:val="clear"/>
            <w:tcMar>
              <w:top w:type="dxa" w:w="80"/>
              <w:left w:type="dxa" w:w="100"/>
              <w:bottom w:type="dxa" w:w="80"/>
              <w:right w:type="dxa" w:w="100"/>
            </w:tcMar>
          </w:tcPr>
          <w:p>
            <w:pPr>
              <w:jc w:val="left"/>
            </w:pPr>
            <w:r>
              <w:rPr>
                <w:b w:val="false"/>
                <w:bCs w:val="false"/>
                <w:color w:val="111827"/>
                <w:sz w:val="19"/>
                <w:szCs w:val="19"/>
              </w:rPr>
              <w:t xml:space="preserve">Jun 8, 2026</w:t>
            </w:r>
          </w:p>
        </w:tc>
        <w:tc>
          <w:tcPr>
            <w:tcW w:type="dxa" w:w="2400"/>
            <w:shd w:fill="EEF2F8" w:val="clear"/>
            <w:tcMar>
              <w:top w:type="dxa" w:w="80"/>
              <w:left w:type="dxa" w:w="100"/>
              <w:bottom w:type="dxa" w:w="80"/>
              <w:right w:type="dxa" w:w="100"/>
            </w:tcMar>
          </w:tcPr>
          <w:p>
            <w:pPr>
              <w:jc w:val="left"/>
            </w:pPr>
            <w:r>
              <w:rPr>
                <w:b w:val="false"/>
                <w:bCs w:val="false"/>
                <w:color w:val="111827"/>
                <w:sz w:val="19"/>
                <w:szCs w:val="19"/>
              </w:rPr>
              <w:t xml:space="preserve">3 — Architecture Review v2.0</w:t>
            </w:r>
          </w:p>
        </w:tc>
        <w:tc>
          <w:tcPr>
            <w:tcW w:type="dxa" w:w="5400"/>
            <w:shd w:fill="EEF2F8" w:val="clear"/>
            <w:tcMar>
              <w:top w:type="dxa" w:w="80"/>
              <w:left w:type="dxa" w:w="100"/>
              <w:bottom w:type="dxa" w:w="80"/>
              <w:right w:type="dxa" w:w="100"/>
            </w:tcMar>
          </w:tcPr>
          <w:p>
            <w:pPr>
              <w:jc w:val="left"/>
            </w:pPr>
            <w:r>
              <w:rPr>
                <w:b w:val="false"/>
                <w:bCs w:val="false"/>
                <w:color w:val="111827"/>
                <w:sz w:val="19"/>
                <w:szCs w:val="19"/>
              </w:rPr>
              <w:t xml:space="preserve">First AWS deployment: 5 services, ECS on EC2, OIDC CI/CD, Module Federation in production</w:t>
            </w:r>
          </w:p>
        </w:tc>
      </w:tr>
      <w:tr>
        <w:tc>
          <w:tcPr>
            <w:tcW w:type="dxa" w:w="1800"/>
            <w:tcMar>
              <w:top w:type="dxa" w:w="80"/>
              <w:left w:type="dxa" w:w="100"/>
              <w:bottom w:type="dxa" w:w="80"/>
              <w:right w:type="dxa" w:w="100"/>
            </w:tcMar>
          </w:tcPr>
          <w:p>
            <w:pPr>
              <w:jc w:val="left"/>
            </w:pPr>
            <w:r>
              <w:rPr>
                <w:b w:val="false"/>
                <w:bCs w:val="false"/>
                <w:color w:val="111827"/>
                <w:sz w:val="19"/>
                <w:szCs w:val="19"/>
              </w:rPr>
              <w:t xml:space="preserve">Jun 23, 2026 (AM)</w:t>
            </w:r>
          </w:p>
        </w:tc>
        <w:tc>
          <w:tcPr>
            <w:tcW w:type="dxa" w:w="2400"/>
            <w:tcMar>
              <w:top w:type="dxa" w:w="80"/>
              <w:left w:type="dxa" w:w="100"/>
              <w:bottom w:type="dxa" w:w="80"/>
              <w:right w:type="dxa" w:w="100"/>
            </w:tcMar>
          </w:tcPr>
          <w:p>
            <w:pPr>
              <w:jc w:val="left"/>
            </w:pPr>
            <w:r>
              <w:rPr>
                <w:b w:val="false"/>
                <w:bCs w:val="false"/>
                <w:color w:val="111827"/>
                <w:sz w:val="19"/>
                <w:szCs w:val="19"/>
              </w:rPr>
              <w:t xml:space="preserve">4 — Module Federation Errors</w:t>
            </w:r>
          </w:p>
        </w:tc>
        <w:tc>
          <w:tcPr>
            <w:tcW w:type="dxa" w:w="5400"/>
            <w:tcMar>
              <w:top w:type="dxa" w:w="80"/>
              <w:left w:type="dxa" w:w="100"/>
              <w:bottom w:type="dxa" w:w="80"/>
              <w:right w:type="dxa" w:w="100"/>
            </w:tcMar>
          </w:tcPr>
          <w:p>
            <w:pPr>
              <w:jc w:val="left"/>
            </w:pPr>
            <w:r>
              <w:rPr>
                <w:b w:val="false"/>
                <w:bCs w:val="false"/>
                <w:color w:val="111827"/>
                <w:sz w:val="19"/>
                <w:szCs w:val="19"/>
              </w:rPr>
              <w:t xml:space="preserve">*Federated.jsx wrapper pattern and tab-isolated hybrid auth model finalized</w:t>
            </w:r>
          </w:p>
        </w:tc>
      </w:tr>
      <w:tr>
        <w:tc>
          <w:tcPr>
            <w:tcW w:type="dxa" w:w="1800"/>
            <w:shd w:fill="EEF2F8" w:val="clear"/>
            <w:tcMar>
              <w:top w:type="dxa" w:w="80"/>
              <w:left w:type="dxa" w:w="100"/>
              <w:bottom w:type="dxa" w:w="80"/>
              <w:right w:type="dxa" w:w="100"/>
            </w:tcMar>
          </w:tcPr>
          <w:p>
            <w:pPr>
              <w:jc w:val="left"/>
            </w:pPr>
            <w:r>
              <w:rPr>
                <w:b w:val="false"/>
                <w:bCs w:val="false"/>
                <w:color w:val="111827"/>
                <w:sz w:val="19"/>
                <w:szCs w:val="19"/>
              </w:rPr>
              <w:t xml:space="preserve">Jun 23, 2026 (PM)</w:t>
            </w:r>
          </w:p>
        </w:tc>
        <w:tc>
          <w:tcPr>
            <w:tcW w:type="dxa" w:w="2400"/>
            <w:shd w:fill="EEF2F8" w:val="clear"/>
            <w:tcMar>
              <w:top w:type="dxa" w:w="80"/>
              <w:left w:type="dxa" w:w="100"/>
              <w:bottom w:type="dxa" w:w="80"/>
              <w:right w:type="dxa" w:w="100"/>
            </w:tcMar>
          </w:tcPr>
          <w:p>
            <w:pPr>
              <w:jc w:val="left"/>
            </w:pPr>
            <w:r>
              <w:rPr>
                <w:b w:val="false"/>
                <w:bCs w:val="false"/>
                <w:color w:val="111827"/>
                <w:sz w:val="19"/>
                <w:szCs w:val="19"/>
              </w:rPr>
              <w:t xml:space="preserve">5 — Session Initialization</w:t>
            </w:r>
          </w:p>
        </w:tc>
        <w:tc>
          <w:tcPr>
            <w:tcW w:type="dxa" w:w="5400"/>
            <w:shd w:fill="EEF2F8" w:val="clear"/>
            <w:tcMar>
              <w:top w:type="dxa" w:w="80"/>
              <w:left w:type="dxa" w:w="100"/>
              <w:bottom w:type="dxa" w:w="80"/>
              <w:right w:type="dxa" w:w="100"/>
            </w:tcMar>
          </w:tcPr>
          <w:p>
            <w:pPr>
              <w:jc w:val="left"/>
            </w:pPr>
            <w:r>
              <w:rPr>
                <w:b w:val="false"/>
                <w:bCs w:val="false"/>
                <w:color w:val="111827"/>
                <w:sz w:val="19"/>
                <w:szCs w:val="19"/>
              </w:rPr>
              <w:t xml:space="preserve">First lifecycle/codebase documentation pass; favicon and shared-lib gaps identified</w:t>
            </w:r>
          </w:p>
        </w:tc>
      </w:tr>
      <w:tr>
        <w:tc>
          <w:tcPr>
            <w:tcW w:type="dxa" w:w="1800"/>
            <w:tcMar>
              <w:top w:type="dxa" w:w="80"/>
              <w:left w:type="dxa" w:w="100"/>
              <w:bottom w:type="dxa" w:w="80"/>
              <w:right w:type="dxa" w:w="100"/>
            </w:tcMar>
          </w:tcPr>
          <w:p>
            <w:pPr>
              <w:jc w:val="left"/>
            </w:pPr>
            <w:r>
              <w:rPr>
                <w:b w:val="false"/>
                <w:bCs w:val="false"/>
                <w:color w:val="111827"/>
                <w:sz w:val="19"/>
                <w:szCs w:val="19"/>
              </w:rPr>
              <w:t xml:space="preserve">Jun 26, 2026</w:t>
            </w:r>
          </w:p>
        </w:tc>
        <w:tc>
          <w:tcPr>
            <w:tcW w:type="dxa" w:w="2400"/>
            <w:tcMar>
              <w:top w:type="dxa" w:w="80"/>
              <w:left w:type="dxa" w:w="100"/>
              <w:bottom w:type="dxa" w:w="80"/>
              <w:right w:type="dxa" w:w="100"/>
            </w:tcMar>
          </w:tcPr>
          <w:p>
            <w:pPr>
              <w:jc w:val="left"/>
            </w:pPr>
            <w:r>
              <w:rPr>
                <w:b w:val="false"/>
                <w:bCs w:val="false"/>
                <w:color w:val="111827"/>
                <w:sz w:val="19"/>
                <w:szCs w:val="19"/>
              </w:rPr>
              <w:t xml:space="preserve">6 — Dashboard Loading Errors</w:t>
            </w:r>
          </w:p>
        </w:tc>
        <w:tc>
          <w:tcPr>
            <w:tcW w:type="dxa" w:w="5400"/>
            <w:tcMar>
              <w:top w:type="dxa" w:w="80"/>
              <w:left w:type="dxa" w:w="100"/>
              <w:bottom w:type="dxa" w:w="80"/>
              <w:right w:type="dxa" w:w="100"/>
            </w:tcMar>
          </w:tcPr>
          <w:p>
            <w:pPr>
              <w:jc w:val="left"/>
            </w:pPr>
            <w:r>
              <w:rPr>
                <w:b w:val="false"/>
                <w:bCs w:val="false"/>
                <w:color w:val="111827"/>
                <w:sz w:val="19"/>
                <w:szCs w:val="19"/>
              </w:rPr>
              <w:t xml:space="preserve">Resolved cascading 403/COOKIE_SECURE bug chain; closed favicon gap; 9-area infra pass</w:t>
            </w:r>
          </w:p>
        </w:tc>
      </w:tr>
      <w:tr>
        <w:tc>
          <w:tcPr>
            <w:tcW w:type="dxa" w:w="1800"/>
            <w:shd w:fill="EEF2F8" w:val="clear"/>
            <w:tcMar>
              <w:top w:type="dxa" w:w="80"/>
              <w:left w:type="dxa" w:w="100"/>
              <w:bottom w:type="dxa" w:w="80"/>
              <w:right w:type="dxa" w:w="100"/>
            </w:tcMar>
          </w:tcPr>
          <w:p>
            <w:pPr>
              <w:jc w:val="left"/>
            </w:pPr>
            <w:r>
              <w:rPr>
                <w:b w:val="false"/>
                <w:bCs w:val="false"/>
                <w:color w:val="111827"/>
                <w:sz w:val="19"/>
                <w:szCs w:val="19"/>
              </w:rPr>
              <w:t xml:space="preserve">Jul 21, 2026</w:t>
            </w:r>
          </w:p>
        </w:tc>
        <w:tc>
          <w:tcPr>
            <w:tcW w:type="dxa" w:w="2400"/>
            <w:shd w:fill="EEF2F8" w:val="clear"/>
            <w:tcMar>
              <w:top w:type="dxa" w:w="80"/>
              <w:left w:type="dxa" w:w="100"/>
              <w:bottom w:type="dxa" w:w="80"/>
              <w:right w:type="dxa" w:w="100"/>
            </w:tcMar>
          </w:tcPr>
          <w:p>
            <w:pPr>
              <w:jc w:val="left"/>
            </w:pPr>
            <w:r>
              <w:rPr>
                <w:b w:val="false"/>
                <w:bCs w:val="false"/>
                <w:color w:val="111827"/>
                <w:sz w:val="19"/>
                <w:szCs w:val="19"/>
              </w:rPr>
              <w:t xml:space="preserve">7 — Well-Architected Review</w:t>
            </w:r>
          </w:p>
        </w:tc>
        <w:tc>
          <w:tcPr>
            <w:tcW w:type="dxa" w:w="5400"/>
            <w:shd w:fill="EEF2F8" w:val="clear"/>
            <w:tcMar>
              <w:top w:type="dxa" w:w="80"/>
              <w:left w:type="dxa" w:w="100"/>
              <w:bottom w:type="dxa" w:w="80"/>
              <w:right w:type="dxa" w:w="100"/>
            </w:tcMar>
          </w:tcPr>
          <w:p>
            <w:pPr>
              <w:jc w:val="left"/>
            </w:pPr>
            <w:r>
              <w:rPr>
                <w:b w:val="false"/>
                <w:bCs w:val="false"/>
                <w:color w:val="111827"/>
                <w:sz w:val="19"/>
                <w:szCs w:val="19"/>
              </w:rPr>
              <w:t xml:space="preserve">6-pillar hardening; 3-secret JWT model; SSM Parameter Store; RDS read replica</w:t>
            </w:r>
          </w:p>
        </w:tc>
      </w:tr>
      <w:tr>
        <w:tc>
          <w:tcPr>
            <w:tcW w:type="dxa" w:w="1800"/>
            <w:tcMar>
              <w:top w:type="dxa" w:w="80"/>
              <w:left w:type="dxa" w:w="100"/>
              <w:bottom w:type="dxa" w:w="80"/>
              <w:right w:type="dxa" w:w="100"/>
            </w:tcMar>
          </w:tcPr>
          <w:p>
            <w:pPr>
              <w:jc w:val="left"/>
            </w:pPr>
            <w:r>
              <w:rPr>
                <w:b w:val="false"/>
                <w:bCs w:val="false"/>
                <w:color w:val="111827"/>
                <w:sz w:val="19"/>
                <w:szCs w:val="19"/>
              </w:rPr>
              <w:t xml:space="preserve">Jul 22, 2026</w:t>
            </w:r>
          </w:p>
        </w:tc>
        <w:tc>
          <w:tcPr>
            <w:tcW w:type="dxa" w:w="2400"/>
            <w:tcMar>
              <w:top w:type="dxa" w:w="80"/>
              <w:left w:type="dxa" w:w="100"/>
              <w:bottom w:type="dxa" w:w="80"/>
              <w:right w:type="dxa" w:w="100"/>
            </w:tcMar>
          </w:tcPr>
          <w:p>
            <w:pPr>
              <w:jc w:val="left"/>
            </w:pPr>
            <w:r>
              <w:rPr>
                <w:b w:val="false"/>
                <w:bCs w:val="false"/>
                <w:color w:val="111827"/>
                <w:sz w:val="19"/>
                <w:szCs w:val="19"/>
              </w:rPr>
              <w:t xml:space="preserve">8 — Workflow Dispatch &amp; Admin Limit</w:t>
            </w:r>
          </w:p>
        </w:tc>
        <w:tc>
          <w:tcPr>
            <w:tcW w:type="dxa" w:w="5400"/>
            <w:tcMar>
              <w:top w:type="dxa" w:w="80"/>
              <w:left w:type="dxa" w:w="100"/>
              <w:bottom w:type="dxa" w:w="80"/>
              <w:right w:type="dxa" w:w="100"/>
            </w:tcMar>
          </w:tcPr>
          <w:p>
            <w:pPr>
              <w:jc w:val="left"/>
            </w:pPr>
            <w:r>
              <w:rPr>
                <w:b w:val="false"/>
                <w:bCs w:val="false"/>
                <w:color w:val="111827"/>
                <w:sz w:val="19"/>
                <w:szCs w:val="19"/>
              </w:rPr>
              <w:t xml:space="preserve">2-admin bootstrap; shared-lib consolidation closed; 11-item infra hardening batch</w:t>
            </w:r>
          </w:p>
        </w:tc>
      </w:tr>
      <w:tr>
        <w:tc>
          <w:tcPr>
            <w:tcW w:type="dxa" w:w="1800"/>
            <w:shd w:fill="EEF2F8" w:val="clear"/>
            <w:tcMar>
              <w:top w:type="dxa" w:w="80"/>
              <w:left w:type="dxa" w:w="100"/>
              <w:bottom w:type="dxa" w:w="80"/>
              <w:right w:type="dxa" w:w="100"/>
            </w:tcMar>
          </w:tcPr>
          <w:p>
            <w:pPr>
              <w:jc w:val="left"/>
            </w:pPr>
            <w:r>
              <w:rPr>
                <w:b w:val="false"/>
                <w:bCs w:val="false"/>
                <w:color w:val="111827"/>
                <w:sz w:val="19"/>
                <w:szCs w:val="19"/>
              </w:rPr>
              <w:t xml:space="preserve">Jul 24, 2026</w:t>
            </w:r>
          </w:p>
        </w:tc>
        <w:tc>
          <w:tcPr>
            <w:tcW w:type="dxa" w:w="2400"/>
            <w:shd w:fill="EEF2F8" w:val="clear"/>
            <w:tcMar>
              <w:top w:type="dxa" w:w="80"/>
              <w:left w:type="dxa" w:w="100"/>
              <w:bottom w:type="dxa" w:w="80"/>
              <w:right w:type="dxa" w:w="100"/>
            </w:tcMar>
          </w:tcPr>
          <w:p>
            <w:pPr>
              <w:jc w:val="left"/>
            </w:pPr>
            <w:r>
              <w:rPr>
                <w:b w:val="false"/>
                <w:bCs w:val="false"/>
                <w:color w:val="111827"/>
                <w:sz w:val="19"/>
                <w:szCs w:val="19"/>
              </w:rPr>
              <w:t xml:space="preserve">9 — Documentation Regeneration</w:t>
            </w:r>
          </w:p>
        </w:tc>
        <w:tc>
          <w:tcPr>
            <w:tcW w:type="dxa" w:w="5400"/>
            <w:shd w:fill="EEF2F8" w:val="clear"/>
            <w:tcMar>
              <w:top w:type="dxa" w:w="80"/>
              <w:left w:type="dxa" w:w="100"/>
              <w:bottom w:type="dxa" w:w="80"/>
              <w:right w:type="dxa" w:w="100"/>
            </w:tcMar>
          </w:tcPr>
          <w:p>
            <w:pPr>
              <w:jc w:val="left"/>
            </w:pPr>
            <w:r>
              <w:rPr>
                <w:b w:val="false"/>
                <w:bCs w:val="false"/>
                <w:color w:val="111827"/>
                <w:sz w:val="19"/>
                <w:szCs w:val="19"/>
              </w:rPr>
              <w:t xml:space="preserve">README, lifecycle, and technical reference regenerated and verified against live codebase</w:t>
            </w:r>
          </w:p>
        </w:tc>
      </w:tr>
    </w:tbl>
    <w:p>
      <w:pPr>
        <w:spacing w:after="200"/>
      </w:pPr>
    </w:p>
    <w:p>
      <w:pPr>
        <w:pStyle w:val="Heading1"/>
        <w:spacing w:after="160" w:before="320"/>
      </w:pPr>
      <w:r>
        <w:t xml:space="preserve">Recurring working principles</w:t>
      </w:r>
    </w:p>
    <w:p>
      <w:pPr>
        <w:pStyle w:val="ListParagraph"/>
        <w:numPr>
          <w:ilvl w:val="0"/>
          <w:numId w:val="1"/>
        </w:numPr>
        <w:spacing w:after="60"/>
      </w:pPr>
      <w:r>
        <w:t xml:space="preserve">Never trust a prior session's claim that something was fixed — always re-verify against the freshly uploaded project zip before proceeding (established explicitly in Session 5, applied in every session since).</w:t>
      </w:r>
    </w:p>
    <w:p>
      <w:pPr>
        <w:pStyle w:val="ListParagraph"/>
        <w:numPr>
          <w:ilvl w:val="0"/>
          <w:numId w:val="1"/>
        </w:numPr>
        <w:spacing w:after="60"/>
      </w:pPr>
      <w:r>
        <w:t xml:space="preserve">Root cause over surface fix — the developer consistently asks "why did this happen?" and expects the underlying mechanism explained, not just a patch.</w:t>
      </w:r>
    </w:p>
    <w:p>
      <w:pPr>
        <w:pStyle w:val="ListParagraph"/>
        <w:numPr>
          <w:ilvl w:val="0"/>
          <w:numId w:val="1"/>
        </w:numPr>
        <w:spacing w:after="60"/>
      </w:pPr>
      <w:r>
        <w:t xml:space="preserve">CI/CD pipeline integrity is a hard constraint — a fix that breaks the pipeline is treated as a new priority issue, not an acceptable trade-off.</w:t>
      </w:r>
    </w:p>
    <w:p>
      <w:pPr>
        <w:pStyle w:val="ListParagraph"/>
        <w:numPr>
          <w:ilvl w:val="0"/>
          <w:numId w:val="1"/>
        </w:numPr>
        <w:spacing w:after="60"/>
      </w:pPr>
      <w:r>
        <w:t xml:space="preserve">Think from a fresh-deployment point of view, not the current running state of the system, when diagnosing infrastructure issues.</w:t>
      </w:r>
    </w:p>
    <w:p>
      <w:pPr>
        <w:pStyle w:val="ListParagraph"/>
        <w:numPr>
          <w:ilvl w:val="0"/>
          <w:numId w:val="1"/>
        </w:numPr>
        <w:spacing w:after="60"/>
      </w:pPr>
      <w:r>
        <w:t xml:space="preserve">Incremental delivery — changed files only, with explicit file-placement guidance, and step-by-step confirmation on multi-step changes.</w:t>
      </w:r>
    </w:p>
    <w:p>
      <w:pPr>
        <w:pStyle w:val="ListParagraph"/>
        <w:numPr>
          <w:ilvl w:val="0"/>
          <w:numId w:val="1"/>
        </w:numPr>
        <w:spacing w:after="60"/>
      </w:pPr>
      <w:r>
        <w:t xml:space="preserve">"I want function not fashion" — functional correctness takes priority over cosmetic polish.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AAC" w:sz="8"/>
      </w:pBdr>
      <w:spacing w:after="160" w:before="320"/>
    </w:pPr>
    <w:rPr>
      <w:b/>
      <w:bCs/>
      <w:color w:val="1F2A44"/>
      <w:sz w:val="30"/>
      <w:szCs w:val="30"/>
    </w:rPr>
  </w:style>
  <w:style w:type="paragraph" w:styleId="Heading2">
    <w:name w:val="Heading 2"/>
    <w:basedOn w:val="Normal"/>
    <w:next w:val="Normal"/>
    <w:qFormat/>
    <w:rPr>
      <w:b/>
      <w:bCs/>
      <w:color w:val="2E5AAC"/>
      <w:sz w:val="25"/>
      <w:szCs w:val="25"/>
    </w:rPr>
  </w:style>
  <w:style w:type="paragraph" w:styleId="Heading3">
    <w:name w:val="Heading 3"/>
    <w:basedOn w:val="Normal"/>
    <w:next w:val="Normal"/>
    <w:qFormat/>
    <w:rPr>
      <w:b/>
      <w:bCs/>
      <w:color w:val="1F2A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t0fxtgclachkjfgokkt" Type="http://schemas.openxmlformats.org/officeDocument/2006/relationships/hyperlink" Target="https://claude.ai/chat/d4463d5b-ad8d-4660-867d-b9431f7885a5" TargetMode="External"/><Relationship Id="rId9eg3jusz1npxbpg7wcu1m" Type="http://schemas.openxmlformats.org/officeDocument/2006/relationships/hyperlink" Target="https://claude.ai/chat/67a1125c-fd0d-4e0a-98f1-93c85e7531e8" TargetMode="External"/><Relationship Id="rId2mhqswawzbydtlj1odwkf" Type="http://schemas.openxmlformats.org/officeDocument/2006/relationships/hyperlink" Target="https://claude.ai/chat/9f8487ba-6681-462c-be71-10daf3661249" TargetMode="External"/><Relationship Id="rIdpnt5e6brm9-1sqwjx3tj3" Type="http://schemas.openxmlformats.org/officeDocument/2006/relationships/hyperlink" Target="https://claude.ai/chat/3808ba48-82c7-481f-bacf-64f14a5e1c5f" TargetMode="External"/><Relationship Id="rIdb2r37kekihk17vcgq0-ra" Type="http://schemas.openxmlformats.org/officeDocument/2006/relationships/hyperlink" Target="https://claude.ai/chat/e9743e3a-c775-4171-bf37-74276d9c4637" TargetMode="External"/><Relationship Id="rIdnsit3yavzj25tes_c4vno" Type="http://schemas.openxmlformats.org/officeDocument/2006/relationships/hyperlink" Target="https://claude.ai/chat/2139e332-c0a0-4a81-801f-5bda53357826" TargetMode="External"/><Relationship Id="rIdeq0mmcv5ejj0txvfnu3sy" Type="http://schemas.openxmlformats.org/officeDocument/2006/relationships/hyperlink" Target="https://claude.ai/chat/be30b75e-1949-4b40-ad28-451c67f8930d" TargetMode="External"/><Relationship Id="rIdb9g3xve_kqeejddypsbhy" Type="http://schemas.openxmlformats.org/officeDocument/2006/relationships/hyperlink" Target="https://claude.ai/chat/54cb80f7-1b02-453d-bcab-daa1b7dc3712"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2026-07-24T18:01:19.670Z</dcterms:created>
  <dcterms:modified xsi:type="dcterms:W3CDTF">2026-07-24T18:01:19.670Z</dcterms:modified>
</cp:coreProperties>
</file>

<file path=docProps/custom.xml><?xml version="1.0" encoding="utf-8"?>
<Properties xmlns="http://schemas.openxmlformats.org/officeDocument/2006/custom-properties" xmlns:vt="http://schemas.openxmlformats.org/officeDocument/2006/docPropsVTypes"/>
</file>