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InventoryMS</w:t>
      </w:r>
    </w:p>
    <w:p>
      <w:pPr>
        <w:pStyle w:val="Heading1"/>
        <w:spacing w:after="80"/>
      </w:pPr>
      <w:r>
        <w:t xml:space="preserve">Technical Flow, Technology Stack &amp; Function Reference</w:t>
      </w:r>
    </w:p>
    <w:p>
      <w:pPr>
        <w:spacing w:after="120"/>
      </w:pPr>
      <w:r>
        <w:rPr>
          <w:i/>
          <w:iCs/>
          <w:color w:val="6B7280"/>
        </w:rPr>
        <w:t xml:space="preserve">A layer-by-layer walkthrough of every backend service and frontend micro-frontend, the technologies in use at each layer, and the purpose and logic of the significant classes and methods, verified directly against the uploaded project codebase.</w:t>
      </w:r>
    </w:p>
    <w:p>
      <w:pPr>
        <w:spacing w:after="120"/>
      </w:pPr>
      <w:r>
        <w:rPr>
          <w:color w:val="6B7280"/>
          <w:sz w:val="18"/>
          <w:szCs w:val="18"/>
        </w:rPr>
        <w:t xml:space="preserve">Compiled July 24, 2026.</w:t>
      </w:r>
    </w:p>
    <w:p>
      <w:pPr>
        <w:pBdr>
          <w:bottom w:val="single" w:color="D1D5DB" w:sz="6"/>
        </w:pBdr>
        <w:spacing w:after="240"/>
      </w:pPr>
    </w:p>
    <w:p>
      <w:pPr>
        <w:pStyle w:val="Heading1"/>
        <w:spacing w:after="160" w:before="320"/>
      </w:pPr>
      <w:r>
        <w:t xml:space="preserve">1. Technology Stack</w:t>
      </w:r>
    </w:p>
    <w:p>
      <w:pPr>
        <w:pStyle w:val="Heading2"/>
        <w:spacing w:after="120" w:before="260"/>
      </w:pPr>
      <w:r>
        <w:t xml:space="preserve">1.1 Backend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2A44" w:val="clear"/>
            <w:tcMar>
              <w:top w:type="dxa" w:w="70"/>
              <w:left w:type="dxa" w:w="100"/>
              <w:bottom w:type="dxa" w:w="70"/>
              <w:right w:type="dxa" w:w="100"/>
            </w:tcMar>
          </w:tcPr>
          <w:p>
            <w:pPr>
              <w:jc w:val="left"/>
            </w:pPr>
            <w:r>
              <w:rPr>
                <w:b/>
                <w:bCs/>
                <w:color w:val="FFFFFF"/>
                <w:sz w:val="18"/>
                <w:szCs w:val="18"/>
              </w:rPr>
              <w:t xml:space="preserve">Layer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Technology</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Language / runtime</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Java 21</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Framework</w:t>
            </w:r>
          </w:p>
        </w:tc>
        <w:tc>
          <w:tcPr>
            <w:tcW w:type="dxa" w:w="6200"/>
            <w:tcMar>
              <w:top w:type="dxa" w:w="70"/>
              <w:left w:type="dxa" w:w="100"/>
              <w:bottom w:type="dxa" w:w="70"/>
              <w:right w:type="dxa" w:w="100"/>
            </w:tcMar>
          </w:tcPr>
          <w:p>
            <w:pPr>
              <w:jc w:val="left"/>
            </w:pPr>
            <w:r>
              <w:rPr>
                <w:b w:val="false"/>
                <w:bCs w:val="false"/>
                <w:color w:val="111827"/>
                <w:sz w:val="18"/>
                <w:szCs w:val="18"/>
              </w:rPr>
              <w:t xml:space="preserve">Spring Boot 3.2.5 (Web, Security, Data JPA, Validation, Actuator, Mail)</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Build</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Maven, multi-module reactor (shared-lib built and installed first)</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Database</w:t>
            </w:r>
          </w:p>
        </w:tc>
        <w:tc>
          <w:tcPr>
            <w:tcW w:type="dxa" w:w="6200"/>
            <w:tcMar>
              <w:top w:type="dxa" w:w="70"/>
              <w:left w:type="dxa" w:w="100"/>
              <w:bottom w:type="dxa" w:w="70"/>
              <w:right w:type="dxa" w:w="100"/>
            </w:tcMar>
          </w:tcPr>
          <w:p>
            <w:pPr>
              <w:jc w:val="left"/>
            </w:pPr>
            <w:r>
              <w:rPr>
                <w:b w:val="false"/>
                <w:bCs w:val="false"/>
                <w:color w:val="111827"/>
                <w:sz w:val="18"/>
                <w:szCs w:val="18"/>
              </w:rPr>
              <w:t xml:space="preserve">MySQL 8.0 on RDS — one shared instance, one schema per service (authdb, inventorydb, notificationdb, supplierdb); reporting-service reads inventorydb via a dedicated read replica</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Schema management</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Flyway (V1__Initial_schema.sql per service; hibernate.ddl-auto=none)</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Auth / tokens</w:t>
            </w:r>
          </w:p>
        </w:tc>
        <w:tc>
          <w:tcPr>
            <w:tcW w:type="dxa" w:w="6200"/>
            <w:tcMar>
              <w:top w:type="dxa" w:w="70"/>
              <w:left w:type="dxa" w:w="100"/>
              <w:bottom w:type="dxa" w:w="70"/>
              <w:right w:type="dxa" w:w="100"/>
            </w:tcMar>
          </w:tcPr>
          <w:p>
            <w:pPr>
              <w:jc w:val="left"/>
            </w:pPr>
            <w:r>
              <w:rPr>
                <w:b w:val="false"/>
                <w:bCs w:val="false"/>
                <w:color w:val="111827"/>
                <w:sz w:val="18"/>
                <w:szCs w:val="18"/>
              </w:rPr>
              <w:t xml:space="preserve">JJWT 0.12.5 (HS256), three independently-keyed token types via shared-lib's JwtUtil</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Caching</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Spring Caffeine — in-process, TTL-based</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Object storage client</w:t>
            </w:r>
          </w:p>
        </w:tc>
        <w:tc>
          <w:tcPr>
            <w:tcW w:type="dxa" w:w="6200"/>
            <w:tcMar>
              <w:top w:type="dxa" w:w="70"/>
              <w:left w:type="dxa" w:w="100"/>
              <w:bottom w:type="dxa" w:w="70"/>
              <w:right w:type="dxa" w:w="100"/>
            </w:tcMar>
          </w:tcPr>
          <w:p>
            <w:pPr>
              <w:jc w:val="left"/>
            </w:pPr>
            <w:r>
              <w:rPr>
                <w:b w:val="false"/>
                <w:bCs w:val="false"/>
                <w:color w:val="111827"/>
                <w:sz w:val="18"/>
                <w:szCs w:val="18"/>
              </w:rPr>
              <w:t xml:space="preserve">AWS SDK v2 (S3) with DefaultCredentialsProvider; MinIO (S3-compatible) locally via Docker Compose</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Tracing</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AWS X-Ray SDK, wired via a non-blocking servlet filter</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Barcode/QR generation</w:t>
            </w:r>
          </w:p>
        </w:tc>
        <w:tc>
          <w:tcPr>
            <w:tcW w:type="dxa" w:w="6200"/>
            <w:tcMar>
              <w:top w:type="dxa" w:w="70"/>
              <w:left w:type="dxa" w:w="100"/>
              <w:bottom w:type="dxa" w:w="70"/>
              <w:right w:type="dxa" w:w="100"/>
            </w:tcMar>
          </w:tcPr>
          <w:p>
            <w:pPr>
              <w:jc w:val="left"/>
            </w:pPr>
            <w:r>
              <w:rPr>
                <w:b w:val="false"/>
                <w:bCs w:val="false"/>
                <w:color w:val="111827"/>
                <w:sz w:val="18"/>
                <w:szCs w:val="18"/>
              </w:rPr>
              <w:t xml:space="preserve">ZXing</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Password hashing</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BCrypt (Spring Security PasswordEncoder)</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Testing</w:t>
            </w:r>
          </w:p>
        </w:tc>
        <w:tc>
          <w:tcPr>
            <w:tcW w:type="dxa" w:w="6200"/>
            <w:tcMar>
              <w:top w:type="dxa" w:w="70"/>
              <w:left w:type="dxa" w:w="100"/>
              <w:bottom w:type="dxa" w:w="70"/>
              <w:right w:type="dxa" w:w="100"/>
            </w:tcMar>
          </w:tcPr>
          <w:p>
            <w:pPr>
              <w:jc w:val="left"/>
            </w:pPr>
            <w:r>
              <w:rPr>
                <w:b w:val="false"/>
                <w:bCs w:val="false"/>
                <w:color w:val="111827"/>
                <w:sz w:val="18"/>
                <w:szCs w:val="18"/>
              </w:rPr>
              <w:t xml:space="preserve">JUnit 5 via spring-boot-starter-test, run through maven-surefire-plugin</w:t>
            </w:r>
          </w:p>
        </w:tc>
      </w:tr>
    </w:tbl>
    <w:p>
      <w:pPr>
        <w:pStyle w:val="Heading2"/>
        <w:spacing w:after="120" w:before="260"/>
      </w:pPr>
      <w:r>
        <w:t xml:space="preserve">1.2 Frontend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2A44" w:val="clear"/>
            <w:tcMar>
              <w:top w:type="dxa" w:w="70"/>
              <w:left w:type="dxa" w:w="100"/>
              <w:bottom w:type="dxa" w:w="70"/>
              <w:right w:type="dxa" w:w="100"/>
            </w:tcMar>
          </w:tcPr>
          <w:p>
            <w:pPr>
              <w:jc w:val="left"/>
            </w:pPr>
            <w:r>
              <w:rPr>
                <w:b/>
                <w:bCs/>
                <w:color w:val="FFFFFF"/>
                <w:sz w:val="18"/>
                <w:szCs w:val="18"/>
              </w:rPr>
              <w:t xml:space="preserve">Layer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Technology</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Library</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React 18.3.1</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Build tool</w:t>
            </w:r>
          </w:p>
        </w:tc>
        <w:tc>
          <w:tcPr>
            <w:tcW w:type="dxa" w:w="6200"/>
            <w:tcMar>
              <w:top w:type="dxa" w:w="70"/>
              <w:left w:type="dxa" w:w="100"/>
              <w:bottom w:type="dxa" w:w="70"/>
              <w:right w:type="dxa" w:w="100"/>
            </w:tcMar>
          </w:tcPr>
          <w:p>
            <w:pPr>
              <w:jc w:val="left"/>
            </w:pPr>
            <w:r>
              <w:rPr>
                <w:b w:val="false"/>
                <w:bCs w:val="false"/>
                <w:color w:val="111827"/>
                <w:sz w:val="18"/>
                <w:szCs w:val="18"/>
              </w:rPr>
              <w:t xml:space="preserve">Vite 5.2.13</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Micro-frontend runtime</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@module-federation/vite — shell consumes 5 independently built remotes as ES modules (type: 'module') at runtime</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Routing</w:t>
            </w:r>
          </w:p>
        </w:tc>
        <w:tc>
          <w:tcPr>
            <w:tcW w:type="dxa" w:w="6200"/>
            <w:tcMar>
              <w:top w:type="dxa" w:w="70"/>
              <w:left w:type="dxa" w:w="100"/>
              <w:bottom w:type="dxa" w:w="70"/>
              <w:right w:type="dxa" w:w="100"/>
            </w:tcMar>
          </w:tcPr>
          <w:p>
            <w:pPr>
              <w:jc w:val="left"/>
            </w:pPr>
            <w:r>
              <w:rPr>
                <w:b w:val="false"/>
                <w:bCs w:val="false"/>
                <w:color w:val="111827"/>
                <w:sz w:val="18"/>
                <w:szCs w:val="18"/>
              </w:rPr>
              <w:t xml:space="preserve">react-router-dom 6.23.1 (shell only — MFEs export page components, not routes)</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HTTP client</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axios 1.7.2, with request/response interceptors for auth token attachment and refresh</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State</w:t>
            </w:r>
          </w:p>
        </w:tc>
        <w:tc>
          <w:tcPr>
            <w:tcW w:type="dxa" w:w="6200"/>
            <w:tcMar>
              <w:top w:type="dxa" w:w="70"/>
              <w:left w:type="dxa" w:w="100"/>
              <w:bottom w:type="dxa" w:w="70"/>
              <w:right w:type="dxa" w:w="100"/>
            </w:tcMar>
          </w:tcPr>
          <w:p>
            <w:pPr>
              <w:jc w:val="left"/>
            </w:pPr>
            <w:r>
              <w:rPr>
                <w:b w:val="false"/>
                <w:bCs w:val="false"/>
                <w:color w:val="111827"/>
                <w:sz w:val="18"/>
                <w:szCs w:val="18"/>
              </w:rPr>
              <w:t xml:space="preserve">React Context (AuthContext per app) + component-local useState — no external state library</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Serving</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nginx (production) — one container serves the shell and all 5 built MFE bundles under /mfe/&lt;name&gt;/</w:t>
            </w:r>
          </w:p>
        </w:tc>
      </w:tr>
    </w:tbl>
    <w:p>
      <w:pPr>
        <w:pStyle w:val="Heading2"/>
        <w:spacing w:after="120" w:before="260"/>
      </w:pPr>
      <w:r>
        <w:t xml:space="preserve">1.3 Infrastructure &amp; delivery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2A44" w:val="clear"/>
            <w:tcMar>
              <w:top w:type="dxa" w:w="70"/>
              <w:left w:type="dxa" w:w="100"/>
              <w:bottom w:type="dxa" w:w="70"/>
              <w:right w:type="dxa" w:w="100"/>
            </w:tcMar>
          </w:tcPr>
          <w:p>
            <w:pPr>
              <w:jc w:val="left"/>
            </w:pPr>
            <w:r>
              <w:rPr>
                <w:b/>
                <w:bCs/>
                <w:color w:val="FFFFFF"/>
                <w:sz w:val="18"/>
                <w:szCs w:val="18"/>
              </w:rPr>
              <w:t xml:space="preserve">Layer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Technology</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IaC</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Terraform (terraform/ directory, local state)</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Compute</w:t>
            </w:r>
          </w:p>
        </w:tc>
        <w:tc>
          <w:tcPr>
            <w:tcW w:type="dxa" w:w="6200"/>
            <w:tcMar>
              <w:top w:type="dxa" w:w="70"/>
              <w:left w:type="dxa" w:w="100"/>
              <w:bottom w:type="dxa" w:w="70"/>
              <w:right w:type="dxa" w:w="100"/>
            </w:tcMar>
          </w:tcPr>
          <w:p>
            <w:pPr>
              <w:jc w:val="left"/>
            </w:pPr>
            <w:r>
              <w:rPr>
                <w:b w:val="false"/>
                <w:bCs w:val="false"/>
                <w:color w:val="111827"/>
                <w:sz w:val="18"/>
                <w:szCs w:val="18"/>
              </w:rPr>
              <w:t xml:space="preserve">AWS ECS, EC2 launch type, t3.large instances, Capacity-Provider target tracking</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Networking</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VPC across 2 AZs, 1 NAT gateway, Application Load Balancer with path-based routing</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Edge security</w:t>
            </w:r>
          </w:p>
        </w:tc>
        <w:tc>
          <w:tcPr>
            <w:tcW w:type="dxa" w:w="6200"/>
            <w:tcMar>
              <w:top w:type="dxa" w:w="70"/>
              <w:left w:type="dxa" w:w="100"/>
              <w:bottom w:type="dxa" w:w="70"/>
              <w:right w:type="dxa" w:w="100"/>
            </w:tcMar>
          </w:tcPr>
          <w:p>
            <w:pPr>
              <w:jc w:val="left"/>
            </w:pPr>
            <w:r>
              <w:rPr>
                <w:b w:val="false"/>
                <w:bCs w:val="false"/>
                <w:color w:val="111827"/>
                <w:sz w:val="18"/>
                <w:szCs w:val="18"/>
              </w:rPr>
              <w:t xml:space="preserve">AWS WAF — auth rate-limiting + CommonRuleSet, SQLiRuleSet, KnownBadInputsRuleSet managed groups</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Data</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RDS MySQL (shared primary, single-AZ) + a dedicated RDS read replica for reporting-service</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Object storage</w:t>
            </w:r>
          </w:p>
        </w:tc>
        <w:tc>
          <w:tcPr>
            <w:tcW w:type="dxa" w:w="6200"/>
            <w:tcMar>
              <w:top w:type="dxa" w:w="70"/>
              <w:left w:type="dxa" w:w="100"/>
              <w:bottom w:type="dxa" w:w="70"/>
              <w:right w:type="dxa" w:w="100"/>
            </w:tcMar>
          </w:tcPr>
          <w:p>
            <w:pPr>
              <w:jc w:val="left"/>
            </w:pPr>
            <w:r>
              <w:rPr>
                <w:b w:val="false"/>
                <w:bCs w:val="false"/>
                <w:color w:val="111827"/>
                <w:sz w:val="18"/>
                <w:szCs w:val="18"/>
              </w:rPr>
              <w:t xml:space="preserve">S3 — product images (versioned), compliance report archive (versioned), VPC flow logs (Parquet)</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Secrets</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AWS SSM Parameter Store, SecureString, injected into ECS task definitions via secrets/valueFrom</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Image registry</w:t>
            </w:r>
          </w:p>
        </w:tc>
        <w:tc>
          <w:tcPr>
            <w:tcW w:type="dxa" w:w="6200"/>
            <w:tcMar>
              <w:top w:type="dxa" w:w="70"/>
              <w:left w:type="dxa" w:w="100"/>
              <w:bottom w:type="dxa" w:w="70"/>
              <w:right w:type="dxa" w:w="100"/>
            </w:tcMar>
          </w:tcPr>
          <w:p>
            <w:pPr>
              <w:jc w:val="left"/>
            </w:pPr>
            <w:r>
              <w:rPr>
                <w:b w:val="false"/>
                <w:bCs w:val="false"/>
                <w:color w:val="111827"/>
                <w:sz w:val="18"/>
                <w:szCs w:val="18"/>
              </w:rPr>
              <w:t xml:space="preserve">ECR, 6 repositories, IMMUTABLE tag policy</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Observability</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CloudWatch alarms + SNS, VPC Flow Logs, AWS X-Ray distributed tracing</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CI/CD</w:t>
            </w:r>
          </w:p>
        </w:tc>
        <w:tc>
          <w:tcPr>
            <w:tcW w:type="dxa" w:w="6200"/>
            <w:tcMar>
              <w:top w:type="dxa" w:w="70"/>
              <w:left w:type="dxa" w:w="100"/>
              <w:bottom w:type="dxa" w:w="70"/>
              <w:right w:type="dxa" w:w="100"/>
            </w:tcMar>
          </w:tcPr>
          <w:p>
            <w:pPr>
              <w:jc w:val="left"/>
            </w:pPr>
            <w:r>
              <w:rPr>
                <w:b w:val="false"/>
                <w:bCs w:val="false"/>
                <w:color w:val="111827"/>
                <w:sz w:val="18"/>
                <w:szCs w:val="18"/>
              </w:rPr>
              <w:t xml:space="preserve">GitHub Actions on ubuntu-latest, OIDC-authenticated to AWS, path-filtered per-service builds</w:t>
            </w:r>
          </w:p>
        </w:tc>
      </w:tr>
    </w:tbl>
    <w:p>
      <w:pPr>
        <w:pStyle w:val="Heading1"/>
        <w:spacing w:after="160" w:before="320"/>
      </w:pPr>
      <w:r>
        <w:t xml:space="preserve">2. End-to-End System Flow</w:t>
      </w:r>
    </w:p>
    <w:p>
      <w:pPr>
        <w:pStyle w:val="Heading2"/>
        <w:spacing w:after="120" w:before="260"/>
      </w:pPr>
      <w:r>
        <w:t xml:space="preserve">2.1 Request path</w:t>
      </w:r>
    </w:p>
    <w:p>
      <w:pPr>
        <w:spacing w:after="120"/>
      </w:pPr>
      <w:r>
        <w:t xml:space="preserve">A browser request reaches the Application Load Balancer, which either serves the React shell (default route) or routes to one of the five backend services by path prefix (/api/auth, /api/users → auth-service; /api/products, /api/locations, /api/stock, /api/batch-lots, /api/cycle-counts → inventory-service; /api/notifications → notification-service, internal-only; /api/reports → reporting-service; /api/suppliers, /api/purchase-orders → supplier-service). Each backend service validates the request's JWT independently — there is no central gateway performing authentication, and no inter-service call is needed to check a token's validity.</w:t>
      </w:r>
    </w:p>
    <w:p>
      <w:pPr>
        <w:pStyle w:val="Heading2"/>
        <w:spacing w:after="120" w:before="260"/>
      </w:pPr>
      <w:r>
        <w:t xml:space="preserve">2.2 Authentication flow (signup / login)</w:t>
      </w:r>
    </w:p>
    <w:p>
      <w:pPr>
        <w:pStyle w:val="ListParagraph"/>
        <w:numPr>
          <w:ilvl w:val="0"/>
          <w:numId w:val="1"/>
        </w:numPr>
        <w:spacing w:after="60"/>
      </w:pPr>
      <w:r>
        <w:t xml:space="preserve">User submits SignupRequest or LoginRequest → AuthController.signup()/login() → AuthService.initiateSignup()/initiateLogin() generates a 6-digit OTP, stores it with a purpose and expiry via OtpTokenRepository, sends it by email (or logs it in dev), and returns an OtpRequestResponse containing a short-lived (10-minute) session token.</w:t>
      </w:r>
    </w:p>
    <w:p>
      <w:pPr>
        <w:pStyle w:val="ListParagraph"/>
        <w:numPr>
          <w:ilvl w:val="0"/>
          <w:numId w:val="1"/>
        </w:numPr>
        <w:spacing w:after="60"/>
      </w:pPr>
      <w:r>
        <w:t xml:space="preserve">Client submits the OTP plus the session token → AuthController.verifySignup()/verifyLogin() → AuthService.verifySignup()/verifyLogin() calls validateSessionToken() to confirm the session token's signature, expiry, purpose, and subject email all match, then findValidOtp() to confirm the OTP itself is correct and unexpired.</w:t>
      </w:r>
    </w:p>
    <w:p>
      <w:pPr>
        <w:pStyle w:val="ListParagraph"/>
        <w:numPr>
          <w:ilvl w:val="0"/>
          <w:numId w:val="1"/>
        </w:numPr>
        <w:spacing w:after="60"/>
      </w:pPr>
      <w:r>
        <w:t xml:space="preserve">On success, AuthService.buildTokenPair() issues an access JWT (short-lived, carries role and userId claims) and a refresh JWT (longer-lived, carries a jti claim persisted via RefreshTokenRepository for revocation tracking). The access token is returned in the response body; the refresh token is set as an HttpOnly cookie scoped to /api/auth/.</w:t>
      </w:r>
    </w:p>
    <w:p>
      <w:pPr>
        <w:pStyle w:val="ListParagraph"/>
        <w:numPr>
          <w:ilvl w:val="0"/>
          <w:numId w:val="1"/>
        </w:numPr>
        <w:spacing w:after="60"/>
      </w:pPr>
      <w:r>
        <w:t xml:space="preserve">The frontend's AuthContext.login() stores the access token and user profile in sessionStorage — scoped to that browser tab only.</w:t>
      </w:r>
    </w:p>
    <w:p>
      <w:pPr>
        <w:pStyle w:val="Heading2"/>
        <w:spacing w:after="120" w:before="260"/>
      </w:pPr>
      <w:r>
        <w:t xml:space="preserve">2.3 Authenticated request flow</w:t>
      </w:r>
    </w:p>
    <w:p>
      <w:pPr>
        <w:pStyle w:val="ListParagraph"/>
        <w:numPr>
          <w:ilvl w:val="0"/>
          <w:numId w:val="1"/>
        </w:numPr>
        <w:spacing w:after="60"/>
      </w:pPr>
      <w:r>
        <w:t xml:space="preserve">Every subsequent request from the tab carries Authorization: Bearer &lt;accessToken&gt;, attached automatically by the shell's axios request interceptor.</w:t>
      </w:r>
    </w:p>
    <w:p>
      <w:pPr>
        <w:pStyle w:val="ListParagraph"/>
        <w:numPr>
          <w:ilvl w:val="0"/>
          <w:numId w:val="1"/>
        </w:numPr>
        <w:spacing w:after="60"/>
      </w:pPr>
      <w:r>
        <w:t xml:space="preserve">Each backend service's JwtAuthFilter (a Spring OncePerRequestFilter) extracts the token, validates it against that service's access-typed JwtUtil bean, and — if valid — populates the Spring SecurityContext with the user's identity and a ROLE_&lt;role&gt; authority, which @PreAuthorize annotations on controller methods then check.</w:t>
      </w:r>
    </w:p>
    <w:p>
      <w:pPr>
        <w:pStyle w:val="ListParagraph"/>
        <w:numPr>
          <w:ilvl w:val="0"/>
          <w:numId w:val="1"/>
        </w:numPr>
        <w:spacing w:after="60"/>
      </w:pPr>
      <w:r>
        <w:t xml:space="preserve">If the token has expired, the service returns 401 via a dedicated AuthenticationEntryPoint (not the default 403), which the shell's axios response interceptor is specifically listening for.</w:t>
      </w:r>
    </w:p>
    <w:p>
      <w:pPr>
        <w:pStyle w:val="ListParagraph"/>
        <w:numPr>
          <w:ilvl w:val="0"/>
          <w:numId w:val="1"/>
        </w:numPr>
        <w:spacing w:after="60"/>
      </w:pPr>
      <w:r>
        <w:t xml:space="preserve">On 401, the interceptor calls POST /api/auth/refresh with no body — the browser automatically attaches the HttpOnly refresh cookie. auth-service validates and rotates the refresh token (detecting reuse of an already-rotated token as a compromise signal, which revokes every session for that user), returns a new access token, and the original request is retried transparently. Concurrent 401s across multiple in-flight requests are queued so only one refresh call is made.</w:t>
      </w:r>
    </w:p>
    <w:p>
      <w:pPr>
        <w:pStyle w:val="Heading2"/>
        <w:spacing w:after="120" w:before="260"/>
      </w:pPr>
      <w:r>
        <w:t xml:space="preserve">2.4 Cross-service integration (fire-and-forget and synchronous calls)</w:t>
      </w:r>
    </w:p>
    <w:p>
      <w:pPr>
        <w:pStyle w:val="ListParagraph"/>
        <w:numPr>
          <w:ilvl w:val="0"/>
          <w:numId w:val="1"/>
        </w:numPr>
        <w:spacing w:after="60"/>
      </w:pPr>
      <w:r>
        <w:t xml:space="preserve">StockService.recordMovement() in inventory-service pushes low-stock and overstock alerts to notification-service via a direct HTTP call to /api/notifications/send — fire-and-forget: a failure to reach notification-service never blocks the stock movement itself from completing.</w:t>
      </w:r>
    </w:p>
    <w:p>
      <w:pPr>
        <w:pStyle w:val="ListParagraph"/>
        <w:numPr>
          <w:ilvl w:val="0"/>
          <w:numId w:val="1"/>
        </w:numPr>
        <w:spacing w:after="60"/>
      </w:pPr>
      <w:r>
        <w:t xml:space="preserve">SupplierService.receiveGoods() in supplier-service, on confirming a Goods Receipt Note (GRN), calls inventory-service's stock-movement endpoint via pushStockIntoInventory() to actually increase stock levels — this is the real integration point that makes a GRN affect on-hand inventory, rather than just recording a paper receipt.</w:t>
      </w:r>
    </w:p>
    <w:p>
      <w:pPr>
        <w:pStyle w:val="ListParagraph"/>
        <w:numPr>
          <w:ilvl w:val="0"/>
          <w:numId w:val="1"/>
        </w:numPr>
        <w:spacing w:after="60"/>
      </w:pPr>
      <w:r>
        <w:t xml:space="preserve">reporting-service never calls another service over HTTP — it reads inventorydb directly through its own read replica connection using a raw EntityManager, since its whole purpose is analytical queries that must not compete with inventory-service's transactional load.</w:t>
      </w:r>
    </w:p>
    <w:p>
      <w:pPr>
        <w:pStyle w:val="Heading1"/>
        <w:spacing w:after="160" w:before="320"/>
      </w:pPr>
      <w:r>
        <w:t xml:space="preserve">3. Backend Services</w:t>
      </w:r>
    </w:p>
    <w:p>
      <w:pPr>
        <w:spacing w:after="120"/>
      </w:pPr>
      <w:r>
        <w:t xml:space="preserve">Every service follows the same Domain-Driven Design four-layer structure: domain (entities, repositories as interfaces) → application (services, DTOs — the business logic layer) → infrastructure (security, storage, external clients) → interfaces (REST controllers). Dependencies only point inward; the domain layer never imports application, infrastructure, or interfaces classes.</w:t>
      </w:r>
    </w:p>
    <w:p>
      <w:pPr>
        <w:pStyle w:val="Heading2"/>
        <w:spacing w:after="120" w:before="260"/>
      </w:pPr>
      <w:r>
        <w:t xml:space="preserve">3.1 auth-service (:8081, authdb)</w:t>
      </w:r>
    </w:p>
    <w:p>
      <w:pPr>
        <w:spacing w:after="120"/>
      </w:pPr>
      <w:r>
        <w:t xml:space="preserve">Owns identity, authentication, and authorization for the whole system. No other service issues or manages user credentials.</w:t>
      </w:r>
    </w:p>
    <w:p>
      <w:pPr>
        <w:pStyle w:val="Heading3"/>
        <w:spacing w:after="100" w:before="200"/>
      </w:pPr>
      <w:r>
        <w:t xml:space="preserve">Domain model</w:t>
      </w:r>
    </w:p>
    <w:p>
      <w:pPr>
        <w:pStyle w:val="ListParagraph"/>
        <w:numPr>
          <w:ilvl w:val="0"/>
          <w:numId w:val="1"/>
        </w:numPr>
        <w:spacing w:after="60"/>
      </w:pPr>
      <w:r>
        <w:t xml:space="preserve">User — id, email, hashed password, fullName, role (ADMIN / WAREHOUSE_MANAGER / STAKEHOLDER, stored VARCHAR not ENUM), active flag.</w:t>
      </w:r>
    </w:p>
    <w:p>
      <w:pPr>
        <w:pStyle w:val="ListParagraph"/>
        <w:numPr>
          <w:ilvl w:val="0"/>
          <w:numId w:val="1"/>
        </w:numPr>
        <w:spacing w:after="60"/>
      </w:pPr>
      <w:r>
        <w:t xml:space="preserve">OtpToken — email, code, purpose (SIGNUP / LOGIN / PASSWORD_RESET), expiry, consumed flag.</w:t>
      </w:r>
    </w:p>
    <w:p>
      <w:pPr>
        <w:pStyle w:val="ListParagraph"/>
        <w:numPr>
          <w:ilvl w:val="0"/>
          <w:numId w:val="1"/>
        </w:numPr>
        <w:spacing w:after="60"/>
      </w:pPr>
      <w:r>
        <w:t xml:space="preserve">RefreshToken — jti, userId, expiry, revoked flag — the persisted half of the rotation/reuse-detection scheme.</w:t>
      </w:r>
    </w:p>
    <w:p>
      <w:pPr>
        <w:pStyle w:val="Heading3"/>
        <w:spacing w:after="100" w:before="200"/>
      </w:pPr>
      <w:r>
        <w:t xml:space="preserve">AuthService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initiateSignup(SignupRequest)</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Validates the email isn't already registered, generates and persists an OTP for purpose SIGNUP, emails it (or logs it if SMTP is unconfigured), and returns a 10-minute session token proving this step was completed.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verifySignup(OtpVerifyRequest)</w:t>
            </w:r>
          </w:p>
        </w:tc>
        <w:tc>
          <w:tcPr>
            <w:tcW w:type="dxa" w:w="6600"/>
            <w:tcMar>
              <w:top w:type="dxa" w:w="70"/>
              <w:left w:type="dxa" w:w="100"/>
              <w:bottom w:type="dxa" w:w="70"/>
              <w:right w:type="dxa" w:w="100"/>
            </w:tcMar>
          </w:tcPr>
          <w:p>
            <w:pPr>
              <w:jc w:val="left"/>
            </w:pPr>
            <w:r>
              <w:rPr>
                <w:b w:val="false"/>
                <w:bCs w:val="false"/>
                <w:color w:val="111827"/>
                <w:sz w:val="18"/>
                <w:szCs w:val="18"/>
              </w:rPr>
              <w:t xml:space="preserve">Validates the session token via validateSessionToken(), validates the OTP via findValidOtp(), creates the User record (password BCrypt-hashed), and returns a full TokenPairResponse (access + refresh) via buildTokenPair() — the user is logged in immediately after signup.</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initiateLogin(LoginRequest)</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Verifies the password hash against the stored user, then follows the same OTP-issuance path as signup (purpose LOGIN) — login is always two-step (password + OTP).</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verifyLogin(OtpVerifyRequest)</w:t>
            </w:r>
          </w:p>
        </w:tc>
        <w:tc>
          <w:tcPr>
            <w:tcW w:type="dxa" w:w="6600"/>
            <w:tcMar>
              <w:top w:type="dxa" w:w="70"/>
              <w:left w:type="dxa" w:w="100"/>
              <w:bottom w:type="dxa" w:w="70"/>
              <w:right w:type="dxa" w:w="100"/>
            </w:tcMar>
          </w:tcPr>
          <w:p>
            <w:pPr>
              <w:jc w:val="left"/>
            </w:pPr>
            <w:r>
              <w:rPr>
                <w:b w:val="false"/>
                <w:bCs w:val="false"/>
                <w:color w:val="111827"/>
                <w:sz w:val="18"/>
                <w:szCs w:val="18"/>
              </w:rPr>
              <w:t xml:space="preserve">Mirrors verifySignup() for the LOGIN purpose; issues the final token pair on success.</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forgotPassword(ForgotPasswordRequest) / resetPassword(ResetPasswordRequest)</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Same session-token + OTP pattern, purpose PASSWORD_RESET; resetPassword() re-hashes and persists the new password only after both the session token and OTP validate.</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refreshAccessToken(String rawRefreshToken)</w:t>
            </w:r>
          </w:p>
        </w:tc>
        <w:tc>
          <w:tcPr>
            <w:tcW w:type="dxa" w:w="6600"/>
            <w:tcMar>
              <w:top w:type="dxa" w:w="70"/>
              <w:left w:type="dxa" w:w="100"/>
              <w:bottom w:type="dxa" w:w="70"/>
              <w:right w:type="dxa" w:w="100"/>
            </w:tcMar>
          </w:tcPr>
          <w:p>
            <w:pPr>
              <w:jc w:val="left"/>
            </w:pPr>
            <w:r>
              <w:rPr>
                <w:b w:val="false"/>
                <w:bCs w:val="false"/>
                <w:color w:val="111827"/>
                <w:sz w:val="18"/>
                <w:szCs w:val="18"/>
              </w:rPr>
              <w:t xml:space="preserve">Parses and validates the refresh JWT, checks its jti against RefreshTokenRepository. If the jti is already marked revoked, treats this as replay of a stolen token and revokes every refresh token belonging to that user. Otherwise revokes the used token (rotation) and issues a fresh token pair.</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logout(String userId)</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Revokes all of a user's persisted refresh tokens server-side, in addition to the client clearing its own sessionStorage — ensures logout is effective even if the access token is later stolen.</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adminExists()</w:t>
            </w:r>
          </w:p>
        </w:tc>
        <w:tc>
          <w:tcPr>
            <w:tcW w:type="dxa" w:w="6600"/>
            <w:tcMar>
              <w:top w:type="dxa" w:w="70"/>
              <w:left w:type="dxa" w:w="100"/>
              <w:bottom w:type="dxa" w:w="70"/>
              <w:right w:type="dxa" w:w="100"/>
            </w:tcMar>
          </w:tcPr>
          <w:p>
            <w:pPr>
              <w:jc w:val="left"/>
            </w:pPr>
            <w:r>
              <w:rPr>
                <w:b w:val="false"/>
                <w:bCs w:val="false"/>
                <w:color w:val="111827"/>
                <w:sz w:val="18"/>
                <w:szCs w:val="18"/>
              </w:rPr>
              <w:t xml:space="preserve">Unauthenticated check used by the public signup page to decide whether to display the Administrator role option — true only before the first admin has been created.</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enforceAdminLimit(Role) / enforcePublicSignupAdminRule(Role)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Server-side guards backing the 2-admin cap and the rule that only an existing admin (never public signup, after the first) may create further admins — enforced independently of whatever the frontend does or doesn't show.</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buildTokenPair(User)</w:t>
            </w:r>
          </w:p>
        </w:tc>
        <w:tc>
          <w:tcPr>
            <w:tcW w:type="dxa" w:w="6600"/>
            <w:tcMar>
              <w:top w:type="dxa" w:w="70"/>
              <w:left w:type="dxa" w:w="100"/>
              <w:bottom w:type="dxa" w:w="70"/>
              <w:right w:type="dxa" w:w="100"/>
            </w:tcMar>
          </w:tcPr>
          <w:p>
            <w:pPr>
              <w:jc w:val="left"/>
            </w:pPr>
            <w:r>
              <w:rPr>
                <w:b w:val="false"/>
                <w:bCs w:val="false"/>
                <w:color w:val="111827"/>
                <w:sz w:val="18"/>
                <w:szCs w:val="18"/>
              </w:rPr>
              <w:t xml:space="preserve">Issues the access JWT (role + userId claims) and refresh JWT (jti claim, persisted), the single method both login and refresh converge on for consistent token shape.</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sendOtp(email, purpose, label) [private]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Shared OTP-generation and session-token-issuance logic used by all three OTP-driven flows (signup, login, forgot-password) to avoid duplicating the session-token contract in three places.</w:t>
            </w:r>
          </w:p>
        </w:tc>
      </w:tr>
    </w:tbl>
    <w:p>
      <w:pPr>
        <w:pStyle w:val="Heading3"/>
        <w:spacing w:after="100" w:before="200"/>
      </w:pPr>
      <w:r>
        <w:t xml:space="preserve">Controllers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400"/>
      </w:tblGrid>
      <w:tr>
        <w:trPr>
          <w:tblHeader/>
        </w:trPr>
        <w:tc>
          <w:tcPr>
            <w:tcW w:type="dxa" w:w="2400"/>
            <w:shd w:fill="1F2A44" w:val="clear"/>
            <w:tcMar>
              <w:top w:type="dxa" w:w="70"/>
              <w:left w:type="dxa" w:w="100"/>
              <w:bottom w:type="dxa" w:w="70"/>
              <w:right w:type="dxa" w:w="100"/>
            </w:tcMar>
          </w:tcPr>
          <w:p>
            <w:pPr>
              <w:jc w:val="left"/>
            </w:pPr>
            <w:r>
              <w:rPr>
                <w:b/>
                <w:bCs/>
                <w:color w:val="FFFFFF"/>
                <w:sz w:val="18"/>
                <w:szCs w:val="18"/>
              </w:rPr>
              <w:t xml:space="preserve">Controller</w:t>
            </w:r>
          </w:p>
        </w:tc>
        <w:tc>
          <w:tcPr>
            <w:tcW w:type="dxa" w:w="3000"/>
            <w:shd w:fill="1F2A44" w:val="clear"/>
            <w:tcMar>
              <w:top w:type="dxa" w:w="70"/>
              <w:left w:type="dxa" w:w="100"/>
              <w:bottom w:type="dxa" w:w="70"/>
              <w:right w:type="dxa" w:w="100"/>
            </w:tcMar>
          </w:tcPr>
          <w:p>
            <w:pPr>
              <w:jc w:val="left"/>
            </w:pPr>
            <w:r>
              <w:rPr>
                <w:b/>
                <w:bCs/>
                <w:color w:val="FFFFFF"/>
                <w:sz w:val="18"/>
                <w:szCs w:val="18"/>
              </w:rPr>
              <w:t xml:space="preserve">Endpoint</w:t>
            </w:r>
          </w:p>
        </w:tc>
        <w:tc>
          <w:tcPr>
            <w:tcW w:type="dxa" w:w="3400"/>
            <w:shd w:fill="1F2A44" w:val="clear"/>
            <w:tcMar>
              <w:top w:type="dxa" w:w="70"/>
              <w:left w:type="dxa" w:w="100"/>
              <w:bottom w:type="dxa" w:w="70"/>
              <w:right w:type="dxa" w:w="100"/>
            </w:tcMar>
          </w:tcPr>
          <w:p>
            <w:pPr>
              <w:jc w:val="left"/>
            </w:pPr>
            <w:r>
              <w:rPr>
                <w:b/>
                <w:bCs/>
                <w:color w:val="FFFFFF"/>
                <w:sz w:val="18"/>
                <w:szCs w:val="18"/>
              </w:rPr>
              <w:t xml:space="preserve">Access</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AuthController</w:t>
            </w:r>
          </w:p>
        </w:tc>
        <w:tc>
          <w:tcPr>
            <w:tcW w:type="dxa" w:w="3000"/>
            <w:shd w:fill="EEF2F8" w:val="clear"/>
            <w:tcMar>
              <w:top w:type="dxa" w:w="70"/>
              <w:left w:type="dxa" w:w="100"/>
              <w:bottom w:type="dxa" w:w="70"/>
              <w:right w:type="dxa" w:w="100"/>
            </w:tcMar>
          </w:tcPr>
          <w:p>
            <w:pPr>
              <w:jc w:val="left"/>
            </w:pPr>
            <w:r>
              <w:rPr>
                <w:b w:val="false"/>
                <w:bCs w:val="false"/>
                <w:color w:val="111827"/>
                <w:sz w:val="18"/>
                <w:szCs w:val="18"/>
              </w:rPr>
              <w:t xml:space="preserve">POST /api/auth/signup, verify-signup, login, verify-login, forgot-password, reset-password, refresh, logout; GET /admin-exists</w:t>
            </w:r>
          </w:p>
        </w:tc>
        <w:tc>
          <w:tcPr>
            <w:tcW w:type="dxa" w:w="3400"/>
            <w:shd w:fill="EEF2F8" w:val="clear"/>
            <w:tcMar>
              <w:top w:type="dxa" w:w="70"/>
              <w:left w:type="dxa" w:w="100"/>
              <w:bottom w:type="dxa" w:w="70"/>
              <w:right w:type="dxa" w:w="100"/>
            </w:tcMar>
          </w:tcPr>
          <w:p>
            <w:pPr>
              <w:jc w:val="left"/>
            </w:pPr>
            <w:r>
              <w:rPr>
                <w:b w:val="false"/>
                <w:bCs w:val="false"/>
                <w:color w:val="111827"/>
                <w:sz w:val="18"/>
                <w:szCs w:val="18"/>
              </w:rPr>
              <w:t xml:space="preserve">Public (unauthenticated) — this controller only ever sees pre-auth or self-service traffic</w:t>
            </w:r>
          </w:p>
        </w:tc>
      </w:tr>
      <w:tr>
        <w:tc>
          <w:tcPr>
            <w:tcW w:type="dxa" w:w="2400"/>
            <w:tcMar>
              <w:top w:type="dxa" w:w="70"/>
              <w:left w:type="dxa" w:w="100"/>
              <w:bottom w:type="dxa" w:w="70"/>
              <w:right w:type="dxa" w:w="100"/>
            </w:tcMar>
          </w:tcPr>
          <w:p>
            <w:pPr>
              <w:jc w:val="left"/>
            </w:pPr>
            <w:r>
              <w:rPr>
                <w:b w:val="false"/>
                <w:bCs w:val="false"/>
                <w:color w:val="111827"/>
                <w:sz w:val="18"/>
                <w:szCs w:val="18"/>
              </w:rPr>
              <w:t xml:space="preserve">UserController</w:t>
            </w:r>
          </w:p>
        </w:tc>
        <w:tc>
          <w:tcPr>
            <w:tcW w:type="dxa" w:w="3000"/>
            <w:tcMar>
              <w:top w:type="dxa" w:w="70"/>
              <w:left w:type="dxa" w:w="100"/>
              <w:bottom w:type="dxa" w:w="70"/>
              <w:right w:type="dxa" w:w="100"/>
            </w:tcMar>
          </w:tcPr>
          <w:p>
            <w:pPr>
              <w:jc w:val="left"/>
            </w:pPr>
            <w:r>
              <w:rPr>
                <w:b w:val="false"/>
                <w:bCs w:val="false"/>
                <w:color w:val="111827"/>
                <w:sz w:val="18"/>
                <w:szCs w:val="18"/>
              </w:rPr>
              <w:t xml:space="preserve">POST /api/users, GET /api/users, PATCH /api/users/{id}/toggle-active</w:t>
            </w:r>
          </w:p>
        </w:tc>
        <w:tc>
          <w:tcPr>
            <w:tcW w:type="dxa" w:w="3400"/>
            <w:tcMar>
              <w:top w:type="dxa" w:w="70"/>
              <w:left w:type="dxa" w:w="100"/>
              <w:bottom w:type="dxa" w:w="70"/>
              <w:right w:type="dxa" w:w="100"/>
            </w:tcMar>
          </w:tcPr>
          <w:p>
            <w:pPr>
              <w:jc w:val="left"/>
            </w:pPr>
            <w:r>
              <w:rPr>
                <w:b w:val="false"/>
                <w:bCs w:val="false"/>
                <w:color w:val="111827"/>
                <w:sz w:val="18"/>
                <w:szCs w:val="18"/>
              </w:rPr>
              <w:t xml:space="preserve">ADMIN only, enforced via @PreAuthorize("hasRole('ADMIN')")</w:t>
            </w:r>
          </w:p>
        </w:tc>
      </w:tr>
    </w:tbl>
    <w:p>
      <w:pPr>
        <w:pStyle w:val="Heading2"/>
        <w:spacing w:after="120" w:before="260"/>
      </w:pPr>
      <w:r>
        <w:t xml:space="preserve">3.2 inventory-service (:8082, inventorydb)</w:t>
      </w:r>
    </w:p>
    <w:p>
      <w:pPr>
        <w:spacing w:after="120"/>
      </w:pPr>
      <w:r>
        <w:t xml:space="preserve">The largest service — owns products, stock, and everything that tracks physical inventory state. Five application services split by sub-domain rather than one monolithic service class.</w:t>
      </w:r>
    </w:p>
    <w:p>
      <w:pPr>
        <w:pStyle w:val="Heading3"/>
        <w:spacing w:after="100" w:before="200"/>
      </w:pPr>
      <w:r>
        <w:t xml:space="preserve">Domain model</w:t>
      </w:r>
    </w:p>
    <w:p>
      <w:pPr>
        <w:pStyle w:val="ListParagraph"/>
        <w:numPr>
          <w:ilvl w:val="0"/>
          <w:numId w:val="1"/>
        </w:numPr>
        <w:spacing w:after="60"/>
      </w:pPr>
      <w:r>
        <w:t xml:space="preserve">Product / ProductVariant — SKU, name, category, unit of measure, image reference, active flag; variants extend a base product with attribute-specific SKUs.</w:t>
      </w:r>
    </w:p>
    <w:p>
      <w:pPr>
        <w:pStyle w:val="ListParagraph"/>
        <w:numPr>
          <w:ilvl w:val="0"/>
          <w:numId w:val="1"/>
        </w:numPr>
        <w:spacing w:after="60"/>
      </w:pPr>
      <w:r>
        <w:t xml:space="preserve">Location — a warehouse or storage location that stock levels and movements are recorded against.</w:t>
      </w:r>
    </w:p>
    <w:p>
      <w:pPr>
        <w:pStyle w:val="ListParagraph"/>
        <w:numPr>
          <w:ilvl w:val="0"/>
          <w:numId w:val="1"/>
        </w:numPr>
        <w:spacing w:after="60"/>
      </w:pPr>
      <w:r>
        <w:t xml:space="preserve">StockLevel — the current on-hand quantity of a product at a location, with configurable min/max thresholds driving low-stock/overstock alerts.</w:t>
      </w:r>
    </w:p>
    <w:p>
      <w:pPr>
        <w:pStyle w:val="ListParagraph"/>
        <w:numPr>
          <w:ilvl w:val="0"/>
          <w:numId w:val="1"/>
        </w:numPr>
        <w:spacing w:after="60"/>
      </w:pPr>
      <w:r>
        <w:t xml:space="preserve">StockMovement — an immutable ledger entry (IN/OUT/TRANSFER/ADJUSTMENT) recording every change to a StockLevel, with a reason code and performedBy.</w:t>
      </w:r>
    </w:p>
    <w:p>
      <w:pPr>
        <w:pStyle w:val="ListParagraph"/>
        <w:numPr>
          <w:ilvl w:val="0"/>
          <w:numId w:val="1"/>
        </w:numPr>
        <w:spacing w:after="60"/>
      </w:pPr>
      <w:r>
        <w:t xml:space="preserve">StockReservation — quantity held against future fulfillment, separate from on-hand quantity, with release/fulfill lifecycle transitions.</w:t>
      </w:r>
    </w:p>
    <w:p>
      <w:pPr>
        <w:pStyle w:val="ListParagraph"/>
        <w:numPr>
          <w:ilvl w:val="0"/>
          <w:numId w:val="1"/>
        </w:numPr>
        <w:spacing w:after="60"/>
      </w:pPr>
      <w:r>
        <w:t xml:space="preserve">BatchLot — expiry-tracked lot/batch records linked to a product, used for expiring-soon and expired reporting.</w:t>
      </w:r>
    </w:p>
    <w:p>
      <w:pPr>
        <w:pStyle w:val="ListParagraph"/>
        <w:numPr>
          <w:ilvl w:val="0"/>
          <w:numId w:val="1"/>
        </w:numPr>
        <w:spacing w:after="60"/>
      </w:pPr>
      <w:r>
        <w:t xml:space="preserve">CycleCount — a physical stock count workflow: initiated (captures system quantity) → submitted (captures counted quantity) → reconciled (adjusts the stock level to match).</w:t>
      </w:r>
    </w:p>
    <w:p>
      <w:pPr>
        <w:pStyle w:val="ListParagraph"/>
        <w:numPr>
          <w:ilvl w:val="0"/>
          <w:numId w:val="1"/>
        </w:numPr>
        <w:spacing w:after="60"/>
      </w:pPr>
      <w:r>
        <w:t xml:space="preserve">UomConversion — configurable unit-of-measure conversion factors (e.g. box↔each), used to convert quantities across units at query time.</w:t>
      </w:r>
    </w:p>
    <w:p>
      <w:pPr>
        <w:pStyle w:val="Heading3"/>
        <w:spacing w:after="100" w:before="200"/>
      </w:pPr>
      <w:r>
        <w:t xml:space="preserve">ProductService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create(ProductDto) / update(String id, ProductDto)</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Validates and persists product fields; update() re-validates uniqueness constraints (e.g. SKU) before applying changes.</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deactivate(String id) / activate(String id)</w:t>
            </w:r>
          </w:p>
        </w:tc>
        <w:tc>
          <w:tcPr>
            <w:tcW w:type="dxa" w:w="6600"/>
            <w:tcMar>
              <w:top w:type="dxa" w:w="70"/>
              <w:left w:type="dxa" w:w="100"/>
              <w:bottom w:type="dxa" w:w="70"/>
              <w:right w:type="dxa" w:w="100"/>
            </w:tcMar>
          </w:tcPr>
          <w:p>
            <w:pPr>
              <w:jc w:val="left"/>
            </w:pPr>
            <w:r>
              <w:rPr>
                <w:b w:val="false"/>
                <w:bCs w:val="false"/>
                <w:color w:val="111827"/>
                <w:sz w:val="18"/>
                <w:szCs w:val="18"/>
              </w:rPr>
              <w:t xml:space="preserve">Soft-delete toggle — products are never hard-deleted so that historical stock movements and reports referencing them remain valid.</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uploadImage(String productId, MultipartFile file)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Deletes any previous image if it was stored in MinIO/S3 (not an external URL) before uploading the replacement, preventing orphaned objects accumulating in the bucket.</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generateBarcode(String productId, String type)</w:t>
            </w:r>
          </w:p>
        </w:tc>
        <w:tc>
          <w:tcPr>
            <w:tcW w:type="dxa" w:w="6600"/>
            <w:tcMar>
              <w:top w:type="dxa" w:w="70"/>
              <w:left w:type="dxa" w:w="100"/>
              <w:bottom w:type="dxa" w:w="70"/>
              <w:right w:type="dxa" w:w="100"/>
            </w:tcMar>
          </w:tcPr>
          <w:p>
            <w:pPr>
              <w:jc w:val="left"/>
            </w:pPr>
            <w:r>
              <w:rPr>
                <w:b w:val="false"/>
                <w:bCs w:val="false"/>
                <w:color w:val="111827"/>
                <w:sz w:val="18"/>
                <w:szCs w:val="18"/>
              </w:rPr>
              <w:t xml:space="preserve">Uses the ZXing-backed BarcodeService to render CODE128 or QR images encoding the product's SKU/id, returned as a data URI.</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importFromCsv(MultipartFile file) / exportToCsv()</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Bulk product import parses each line with a quote-aware parseCsvLine() helper (handles commas embedded inside quoted fields). exportToCsv() streams all products to CSV and — as a compliance measure — fire-and-forget archives a copy to S3 under reports/inventory-service/, never letting an archival failure block the user's download.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getVariants / createVariant / updateVariant / toggleVariant</w:t>
            </w:r>
          </w:p>
        </w:tc>
        <w:tc>
          <w:tcPr>
            <w:tcW w:type="dxa" w:w="6600"/>
            <w:tcMar>
              <w:top w:type="dxa" w:w="70"/>
              <w:left w:type="dxa" w:w="100"/>
              <w:bottom w:type="dxa" w:w="70"/>
              <w:right w:type="dxa" w:w="100"/>
            </w:tcMar>
          </w:tcPr>
          <w:p>
            <w:pPr>
              <w:jc w:val="left"/>
            </w:pPr>
            <w:r>
              <w:rPr>
                <w:b w:val="false"/>
                <w:bCs w:val="false"/>
                <w:color w:val="111827"/>
                <w:sz w:val="18"/>
                <w:szCs w:val="18"/>
              </w:rPr>
              <w:t xml:space="preserve">CRUD plus soft-delete (toggle) for product variants, each independently resolvable via its own barcode/SKU.</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toDto(Product) [private]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Resolves the displayable image URL — generates a presigned S3/MinIO URL on the fly if the image is bucket-stored, or passes through an external URL unchanged.</w:t>
            </w:r>
          </w:p>
        </w:tc>
      </w:tr>
    </w:tbl>
    <w:p>
      <w:pPr>
        <w:pStyle w:val="Heading3"/>
        <w:spacing w:after="100" w:before="200"/>
      </w:pPr>
      <w:r>
        <w:t xml:space="preserve">StockService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getSummary()</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Aggregates dashboard-level counts (total products, low-stock count, out-of-stock count, overstock count) in one query for the Dashboard MFE.</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getAllLevels() / getLevelsByProduct() / getLevelsByLocation() / getLowStock() / getOutOfStock() / getOverstock()</w:t>
            </w:r>
          </w:p>
        </w:tc>
        <w:tc>
          <w:tcPr>
            <w:tcW w:type="dxa" w:w="6600"/>
            <w:tcMar>
              <w:top w:type="dxa" w:w="70"/>
              <w:left w:type="dxa" w:w="100"/>
              <w:bottom w:type="dxa" w:w="70"/>
              <w:right w:type="dxa" w:w="100"/>
            </w:tcMar>
          </w:tcPr>
          <w:p>
            <w:pPr>
              <w:jc w:val="left"/>
            </w:pPr>
            <w:r>
              <w:rPr>
                <w:b w:val="false"/>
                <w:bCs w:val="false"/>
                <w:color w:val="111827"/>
                <w:sz w:val="18"/>
                <w:szCs w:val="18"/>
              </w:rPr>
              <w:t xml:space="preserve">Read paths over StockLevel, each backed by a dedicated repository query rather than filtering in application code, for index-friendly queries at scale.</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updateThresholds(productId, locationId, minQty, maxQty)</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Sets the min/max quantity bounds on a StockLevel that later drive low-stock/overstock alert firing.</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recordMovement(StockMovementRequest, performedBy)</w:t>
            </w:r>
          </w:p>
        </w:tc>
        <w:tc>
          <w:tcPr>
            <w:tcW w:type="dxa" w:w="6600"/>
            <w:tcMar>
              <w:top w:type="dxa" w:w="70"/>
              <w:left w:type="dxa" w:w="100"/>
              <w:bottom w:type="dxa" w:w="70"/>
              <w:right w:type="dxa" w:w="100"/>
            </w:tcMar>
          </w:tcPr>
          <w:p>
            <w:pPr>
              <w:jc w:val="left"/>
            </w:pPr>
            <w:r>
              <w:rPr>
                <w:b w:val="false"/>
                <w:bCs w:val="false"/>
                <w:color w:val="111827"/>
                <w:sz w:val="18"/>
                <w:szCs w:val="18"/>
              </w:rPr>
              <w:t xml:space="preserve">The central inventory-mutation method. Loads or creates the relevant StockLevel via getOrCreateLevel(), applies the quantity delta according to movement type, persists an immutable StockMovement ledger row, then evaluates the new quantity against thresholds — firing publishOverstockAlert() or publishLowStockAlert() to notification-service as needed. This is also the method supplier-service's GRN flow calls into indirectly to turn a goods receipt into real stock.</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createReservation / releaseReservation / fulfillReservation</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Reservation lifecycle: creating a reservation holds quantity without changing on-hand StockLevel; releasing returns it to available; fulfilling converts it into an actual OUT movement.</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getDemandForecast(productId)</w:t>
            </w:r>
          </w:p>
        </w:tc>
        <w:tc>
          <w:tcPr>
            <w:tcW w:type="dxa" w:w="6600"/>
            <w:tcMar>
              <w:top w:type="dxa" w:w="70"/>
              <w:left w:type="dxa" w:w="100"/>
              <w:bottom w:type="dxa" w:w="70"/>
              <w:right w:type="dxa" w:w="100"/>
            </w:tcMar>
          </w:tcPr>
          <w:p>
            <w:pPr>
              <w:jc w:val="left"/>
            </w:pPr>
            <w:r>
              <w:rPr>
                <w:b w:val="false"/>
                <w:bCs w:val="false"/>
                <w:color w:val="111827"/>
                <w:sz w:val="18"/>
                <w:szCs w:val="18"/>
              </w:rPr>
              <w:t xml:space="preserve">Computes a simple historical-movement-based forecast (recent OUT movement velocity projected forward) to help a warehouse manager anticipate reorder timing.</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getOrCreateLevel(productId, locationId) [private]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Ensures every product/location pair has exactly one StockLevel row, creating one with zero quantity on first reference rather than requiring a separate provisioning step.</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publishOverstockAlert() / publishLowStockAlert() [private]</w:t>
            </w:r>
          </w:p>
        </w:tc>
        <w:tc>
          <w:tcPr>
            <w:tcW w:type="dxa" w:w="6600"/>
            <w:tcMar>
              <w:top w:type="dxa" w:w="70"/>
              <w:left w:type="dxa" w:w="100"/>
              <w:bottom w:type="dxa" w:w="70"/>
              <w:right w:type="dxa" w:w="100"/>
            </w:tcMar>
          </w:tcPr>
          <w:p>
            <w:pPr>
              <w:jc w:val="left"/>
            </w:pPr>
            <w:r>
              <w:rPr>
                <w:b w:val="false"/>
                <w:bCs w:val="false"/>
                <w:color w:val="111827"/>
                <w:sz w:val="18"/>
                <w:szCs w:val="18"/>
              </w:rPr>
              <w:t xml:space="preserve">Fire-and-forget HTTP calls to notification-service's /api/notifications/send — wrapped so a notification-service outage never fails the underlying stock operation.</w:t>
            </w:r>
          </w:p>
        </w:tc>
      </w:tr>
    </w:tbl>
    <w:p>
      <w:pPr>
        <w:pStyle w:val="Heading3"/>
        <w:spacing w:after="100" w:before="200"/>
      </w:pPr>
      <w:r>
        <w:t xml:space="preserve">BatchLotService, CycleCountService, LocationService, UomService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BatchLotService.create()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Validates the batch belongs to a real product and location before persisting an expiry-dated lot record.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BatchLotService.getExpiringSoon(int days) / getExpired()</w:t>
            </w:r>
          </w:p>
        </w:tc>
        <w:tc>
          <w:tcPr>
            <w:tcW w:type="dxa" w:w="6600"/>
            <w:tcMar>
              <w:top w:type="dxa" w:w="70"/>
              <w:left w:type="dxa" w:w="100"/>
              <w:bottom w:type="dxa" w:w="70"/>
              <w:right w:type="dxa" w:w="100"/>
            </w:tcMar>
          </w:tcPr>
          <w:p>
            <w:pPr>
              <w:jc w:val="left"/>
            </w:pPr>
            <w:r>
              <w:rPr>
                <w:b w:val="false"/>
                <w:bCs w:val="false"/>
                <w:color w:val="111827"/>
                <w:sz w:val="18"/>
                <w:szCs w:val="18"/>
              </w:rPr>
              <w:t xml:space="preserve">Two distinct threshold queries against the batch's expiry date, powering the batch/lot expiry dashboard views.</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CycleCountService.initiate(productId, locationId, countedBy)</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Snapshots the current system-recorded StockLevel quantity into the new CycleCount record at count-start time — the baseline the physical count is later compared against.</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CycleCountService.submitCount(id, countedQty, notes)</w:t>
            </w:r>
          </w:p>
        </w:tc>
        <w:tc>
          <w:tcPr>
            <w:tcW w:type="dxa" w:w="6600"/>
            <w:tcMar>
              <w:top w:type="dxa" w:w="70"/>
              <w:left w:type="dxa" w:w="100"/>
              <w:bottom w:type="dxa" w:w="70"/>
              <w:right w:type="dxa" w:w="100"/>
            </w:tcMar>
          </w:tcPr>
          <w:p>
            <w:pPr>
              <w:jc w:val="left"/>
            </w:pPr>
            <w:r>
              <w:rPr>
                <w:b w:val="false"/>
                <w:bCs w:val="false"/>
                <w:color w:val="111827"/>
                <w:sz w:val="18"/>
                <w:szCs w:val="18"/>
              </w:rPr>
              <w:t xml:space="preserve">Records the physically counted quantity against the initiated count and flags a discrepancy if it differs from the captured system quantity.</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CycleCountService.reconcile(id)</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Adjusts the live StockLevel to match the physically counted quantity, closing the loop between a physical audit and the system of record.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LocationService.create() / update()</w:t>
            </w:r>
          </w:p>
        </w:tc>
        <w:tc>
          <w:tcPr>
            <w:tcW w:type="dxa" w:w="6600"/>
            <w:tcMar>
              <w:top w:type="dxa" w:w="70"/>
              <w:left w:type="dxa" w:w="100"/>
              <w:bottom w:type="dxa" w:w="70"/>
              <w:right w:type="dxa" w:w="100"/>
            </w:tcMar>
          </w:tcPr>
          <w:p>
            <w:pPr>
              <w:jc w:val="left"/>
            </w:pPr>
            <w:r>
              <w:rPr>
                <w:b w:val="false"/>
                <w:bCs w:val="false"/>
                <w:color w:val="111827"/>
                <w:sz w:val="18"/>
                <w:szCs w:val="18"/>
              </w:rPr>
              <w:t xml:space="preserve">Standard CRUD; update() re-validates location code uniqueness.</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UomService.convert(fromUnit, toUnit, quantity)</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Tries a direct conversion factor first, then a reverse (inverted) factor if no direct one is configured — avoids requiring every conversion pair to be entered in both directions.</w:t>
            </w:r>
          </w:p>
        </w:tc>
      </w:tr>
    </w:tbl>
    <w:p>
      <w:pPr>
        <w:pStyle w:val="Heading3"/>
        <w:spacing w:after="100" w:before="200"/>
      </w:pPr>
      <w:r>
        <w:t xml:space="preserve">Controllers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F2A44" w:val="clear"/>
            <w:tcMar>
              <w:top w:type="dxa" w:w="70"/>
              <w:left w:type="dxa" w:w="100"/>
              <w:bottom w:type="dxa" w:w="70"/>
              <w:right w:type="dxa" w:w="100"/>
            </w:tcMar>
          </w:tcPr>
          <w:p>
            <w:pPr>
              <w:jc w:val="left"/>
            </w:pPr>
            <w:r>
              <w:rPr>
                <w:b/>
                <w:bCs/>
                <w:color w:val="FFFFFF"/>
                <w:sz w:val="18"/>
                <w:szCs w:val="18"/>
              </w:rPr>
              <w:t xml:space="preserve">Controller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Endpoints</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ProductController</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/api/products — CRUD, activate/deactivate, image upload, barcode, CSV import/export, variants sub-resource</w:t>
            </w:r>
          </w:p>
        </w:tc>
      </w:tr>
      <w:tr>
        <w:tc>
          <w:tcPr>
            <w:tcW w:type="dxa" w:w="2400"/>
            <w:tcMar>
              <w:top w:type="dxa" w:w="70"/>
              <w:left w:type="dxa" w:w="100"/>
              <w:bottom w:type="dxa" w:w="70"/>
              <w:right w:type="dxa" w:w="100"/>
            </w:tcMar>
          </w:tcPr>
          <w:p>
            <w:pPr>
              <w:jc w:val="left"/>
            </w:pPr>
            <w:r>
              <w:rPr>
                <w:b w:val="false"/>
                <w:bCs w:val="false"/>
                <w:color w:val="111827"/>
                <w:sz w:val="18"/>
                <w:szCs w:val="18"/>
              </w:rPr>
              <w:t xml:space="preserve">StockController</w:t>
            </w:r>
          </w:p>
        </w:tc>
        <w:tc>
          <w:tcPr>
            <w:tcW w:type="dxa" w:w="6200"/>
            <w:tcMar>
              <w:top w:type="dxa" w:w="70"/>
              <w:left w:type="dxa" w:w="100"/>
              <w:bottom w:type="dxa" w:w="70"/>
              <w:right w:type="dxa" w:w="100"/>
            </w:tcMar>
          </w:tcPr>
          <w:p>
            <w:pPr>
              <w:jc w:val="left"/>
            </w:pPr>
            <w:r>
              <w:rPr>
                <w:b w:val="false"/>
                <w:bCs w:val="false"/>
                <w:color w:val="111827"/>
                <w:sz w:val="18"/>
                <w:szCs w:val="18"/>
              </w:rPr>
              <w:t xml:space="preserve">/api/stock — summary, levels (all/low/out/overstock), threshold updates, movements, reservations, demand forecast, UoM conversions</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LocationController</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/api/locations — CRUD</w:t>
            </w:r>
          </w:p>
        </w:tc>
      </w:tr>
      <w:tr>
        <w:tc>
          <w:tcPr>
            <w:tcW w:type="dxa" w:w="2400"/>
            <w:tcMar>
              <w:top w:type="dxa" w:w="70"/>
              <w:left w:type="dxa" w:w="100"/>
              <w:bottom w:type="dxa" w:w="70"/>
              <w:right w:type="dxa" w:w="100"/>
            </w:tcMar>
          </w:tcPr>
          <w:p>
            <w:pPr>
              <w:jc w:val="left"/>
            </w:pPr>
            <w:r>
              <w:rPr>
                <w:b w:val="false"/>
                <w:bCs w:val="false"/>
                <w:color w:val="111827"/>
                <w:sz w:val="18"/>
                <w:szCs w:val="18"/>
              </w:rPr>
              <w:t xml:space="preserve">BatchLotController</w:t>
            </w:r>
          </w:p>
        </w:tc>
        <w:tc>
          <w:tcPr>
            <w:tcW w:type="dxa" w:w="6200"/>
            <w:tcMar>
              <w:top w:type="dxa" w:w="70"/>
              <w:left w:type="dxa" w:w="100"/>
              <w:bottom w:type="dxa" w:w="70"/>
              <w:right w:type="dxa" w:w="100"/>
            </w:tcMar>
          </w:tcPr>
          <w:p>
            <w:pPr>
              <w:jc w:val="left"/>
            </w:pPr>
            <w:r>
              <w:rPr>
                <w:b w:val="false"/>
                <w:bCs w:val="false"/>
                <w:color w:val="111827"/>
                <w:sz w:val="18"/>
                <w:szCs w:val="18"/>
              </w:rPr>
              <w:t xml:space="preserve">/api/batch-lots — create, by-product, expiring-soon, expired</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CycleCountController</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/api/cycle-counts — initiate, submit, reconcile, pending, discrepancies</w:t>
            </w:r>
          </w:p>
        </w:tc>
      </w:tr>
    </w:tbl>
    <w:p>
      <w:pPr>
        <w:spacing w:after="120"/>
      </w:pPr>
      <w:r>
        <w:t xml:space="preserve">Read endpoints are generally open to all authenticated roles; every write endpoint (create/update/delete/movement/reservation) is scoped to @PreAuthorize("hasAnyRole('ADMIN','WAREHOUSE_MANAGER')"), and location/product deletion additionally requires ADMIN in some paths — STAKEHOLDER is read-only across the entire service.</w:t>
      </w:r>
    </w:p>
    <w:p>
      <w:pPr>
        <w:pStyle w:val="Heading2"/>
        <w:spacing w:after="120" w:before="260"/>
      </w:pPr>
      <w:r>
        <w:t xml:space="preserve">3.3 notification-service (:8083, notificationdb)</w:t>
      </w:r>
    </w:p>
    <w:p>
      <w:pPr>
        <w:spacing w:after="120"/>
      </w:pPr>
      <w:r>
        <w:t xml:space="preserve">Internal-only — never called from the frontend. Exists purely so inventory-service's alerting logic doesn't need to know how to send email itself.</w:t>
      </w:r>
    </w:p>
    <w:p>
      <w:pPr>
        <w:pStyle w:val="Heading3"/>
        <w:spacing w:after="100" w:before="200"/>
      </w:pPr>
      <w:r>
        <w:t xml:space="preserve">NotificationService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send(NotificationPayload)</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Builds a subject/body from the payload type (low-stock, out-of-stock, overstock) via buildSubject()/buildBody(), dispatches through EmailDispatcher, and persists a NotificationLog row regardless of delivery success or failure — so failed sends are queryable and can be manually triaged.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getRecentLogs() / getFailedLogs()</w:t>
            </w:r>
          </w:p>
        </w:tc>
        <w:tc>
          <w:tcPr>
            <w:tcW w:type="dxa" w:w="6600"/>
            <w:tcMar>
              <w:top w:type="dxa" w:w="70"/>
              <w:left w:type="dxa" w:w="100"/>
              <w:bottom w:type="dxa" w:w="70"/>
              <w:right w:type="dxa" w:w="100"/>
            </w:tcMar>
          </w:tcPr>
          <w:p>
            <w:pPr>
              <w:jc w:val="left"/>
            </w:pPr>
            <w:r>
              <w:rPr>
                <w:b w:val="false"/>
                <w:bCs w:val="false"/>
                <w:color w:val="111827"/>
                <w:sz w:val="18"/>
                <w:szCs w:val="18"/>
              </w:rPr>
              <w:t xml:space="preserve">Read paths — the 50 most recent logs, and specifically the failed subset, for an operational audit trail of alerting activity.</w:t>
            </w:r>
          </w:p>
        </w:tc>
      </w:tr>
    </w:tbl>
    <w:p>
      <w:pPr>
        <w:pStyle w:val="Heading3"/>
        <w:spacing w:after="100" w:before="200"/>
      </w:pPr>
      <w:r>
        <w:t xml:space="preserve">Controller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F2A44" w:val="clear"/>
            <w:tcMar>
              <w:top w:type="dxa" w:w="70"/>
              <w:left w:type="dxa" w:w="100"/>
              <w:bottom w:type="dxa" w:w="70"/>
              <w:right w:type="dxa" w:w="100"/>
            </w:tcMar>
          </w:tcPr>
          <w:p>
            <w:pPr>
              <w:jc w:val="left"/>
            </w:pPr>
            <w:r>
              <w:rPr>
                <w:b/>
                <w:bCs/>
                <w:color w:val="FFFFFF"/>
                <w:sz w:val="18"/>
                <w:szCs w:val="18"/>
              </w:rPr>
              <w:t xml:space="preserve">Controller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Endpoints</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NotificationController</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POST /api/notifications/send (called only by inventory-service); GET /logs, /logs/failed</w:t>
            </w:r>
          </w:p>
        </w:tc>
      </w:tr>
    </w:tbl>
    <w:p>
      <w:pPr>
        <w:pStyle w:val="Heading2"/>
        <w:spacing w:after="120" w:before="260"/>
      </w:pPr>
      <w:r>
        <w:t xml:space="preserve">3.4 reporting-service (:8084, reads inventorydb read-only)</w:t>
      </w:r>
    </w:p>
    <w:p>
      <w:pPr>
        <w:spacing w:after="120"/>
      </w:pPr>
      <w:r>
        <w:t xml:space="preserve">Owns no schema of its own — it is a read-only analytics layer over inventory-service's data, deliberately isolated onto its own RDS read replica so heavy reporting queries never compete with transactional traffic.</w:t>
      </w:r>
    </w:p>
    <w:p>
      <w:pPr>
        <w:pStyle w:val="Heading3"/>
        <w:spacing w:after="100" w:before="200"/>
      </w:pPr>
      <w:r>
        <w:t xml:space="preserve">ReportingService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getStockValuation()</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Runs a raw JPA/EntityManager query joining products and stock levels to compute on-hand value per product (quantity × unit cost); cached for 60 seconds via Caffeine since valuation data changes relatively slowly.</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getMovements(LocalDate from, LocalDate to)</w:t>
            </w:r>
          </w:p>
        </w:tc>
        <w:tc>
          <w:tcPr>
            <w:tcW w:type="dxa" w:w="6600"/>
            <w:tcMar>
              <w:top w:type="dxa" w:w="70"/>
              <w:left w:type="dxa" w:w="100"/>
              <w:bottom w:type="dxa" w:w="70"/>
              <w:right w:type="dxa" w:w="100"/>
            </w:tcMar>
          </w:tcPr>
          <w:p>
            <w:pPr>
              <w:jc w:val="left"/>
            </w:pPr>
            <w:r>
              <w:rPr>
                <w:b w:val="false"/>
                <w:bCs w:val="false"/>
                <w:color w:val="111827"/>
                <w:sz w:val="18"/>
                <w:szCs w:val="18"/>
              </w:rPr>
              <w:t xml:space="preserve">Aggregates StockMovement rows (read from inventorydb) into per-period summary rows for a given date range.</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getMovementTrend(int days)</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Buckets movement volume by day over the requested trailing window, powering the trend chart on the Reports page.</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exportValuationCsv()</w:t>
            </w:r>
          </w:p>
        </w:tc>
        <w:tc>
          <w:tcPr>
            <w:tcW w:type="dxa" w:w="6600"/>
            <w:tcMar>
              <w:top w:type="dxa" w:w="70"/>
              <w:left w:type="dxa" w:w="100"/>
              <w:bottom w:type="dxa" w:w="70"/>
              <w:right w:type="dxa" w:w="100"/>
            </w:tcMar>
          </w:tcPr>
          <w:p>
            <w:pPr>
              <w:jc w:val="left"/>
            </w:pPr>
            <w:r>
              <w:rPr>
                <w:b w:val="false"/>
                <w:bCs w:val="false"/>
                <w:color w:val="111827"/>
                <w:sz w:val="18"/>
                <w:szCs w:val="18"/>
              </w:rPr>
              <w:t xml:space="preserve">Streams the valuation report to CSV and, like ProductService.exportToCsv(), fire-and-forget archives a copy to S3 under reports/reporting-service/ for compliance.</w:t>
            </w:r>
          </w:p>
        </w:tc>
      </w:tr>
    </w:tbl>
    <w:p>
      <w:pPr>
        <w:pStyle w:val="Heading3"/>
        <w:spacing w:after="100" w:before="200"/>
      </w:pPr>
      <w:r>
        <w:t xml:space="preserve">Controller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F2A44" w:val="clear"/>
            <w:tcMar>
              <w:top w:type="dxa" w:w="70"/>
              <w:left w:type="dxa" w:w="100"/>
              <w:bottom w:type="dxa" w:w="70"/>
              <w:right w:type="dxa" w:w="100"/>
            </w:tcMar>
          </w:tcPr>
          <w:p>
            <w:pPr>
              <w:jc w:val="left"/>
            </w:pPr>
            <w:r>
              <w:rPr>
                <w:b/>
                <w:bCs/>
                <w:color w:val="FFFFFF"/>
                <w:sz w:val="18"/>
                <w:szCs w:val="18"/>
              </w:rPr>
              <w:t xml:space="preserve">Controller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Endpoints</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ReportController</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GET /api/reports/valuation, valuation/export, movements, trend</w:t>
            </w:r>
          </w:p>
        </w:tc>
      </w:tr>
    </w:tbl>
    <w:p>
      <w:pPr>
        <w:pStyle w:val="Heading2"/>
        <w:spacing w:after="120" w:before="260"/>
      </w:pPr>
      <w:r>
        <w:t xml:space="preserve">3.5 supplier-service (:8085, supplierdb)</w:t>
      </w:r>
    </w:p>
    <w:p>
      <w:pPr>
        <w:spacing w:after="120"/>
      </w:pPr>
      <w:r>
        <w:t xml:space="preserve">Owns suppliers, purchase orders, and goods receipt — the one service that reaches out to inventory-service synchronously, because a goods receipt is meaningless unless it actually changes stock.</w:t>
      </w:r>
    </w:p>
    <w:p>
      <w:pPr>
        <w:pStyle w:val="Heading3"/>
        <w:spacing w:after="100" w:before="200"/>
      </w:pPr>
      <w:r>
        <w:t xml:space="preserve">Domain model</w:t>
      </w:r>
    </w:p>
    <w:p>
      <w:pPr>
        <w:pStyle w:val="ListParagraph"/>
        <w:numPr>
          <w:ilvl w:val="0"/>
          <w:numId w:val="1"/>
        </w:numPr>
        <w:spacing w:after="60"/>
      </w:pPr>
      <w:r>
        <w:t xml:space="preserve">Supplier — name, contact details, active flag.</w:t>
      </w:r>
    </w:p>
    <w:p>
      <w:pPr>
        <w:pStyle w:val="ListParagraph"/>
        <w:numPr>
          <w:ilvl w:val="0"/>
          <w:numId w:val="1"/>
        </w:numPr>
        <w:spacing w:after="60"/>
      </w:pPr>
      <w:r>
        <w:t xml:space="preserve">PurchaseOrder / PurchaseOrderLine — a PO issued to a supplier for one or more product lines, each line tracking ordered vs. received quantity; PO status derives from line completion.</w:t>
      </w:r>
    </w:p>
    <w:p>
      <w:pPr>
        <w:pStyle w:val="ListParagraph"/>
        <w:numPr>
          <w:ilvl w:val="0"/>
          <w:numId w:val="1"/>
        </w:numPr>
        <w:spacing w:after="60"/>
      </w:pPr>
      <w:r>
        <w:t xml:space="preserve">GoodsReceiptNote (GRN) — a record of goods physically received against a PO, the event that actually triggers a stock-level increase in inventory-service.</w:t>
      </w:r>
    </w:p>
    <w:p>
      <w:pPr>
        <w:pStyle w:val="Heading3"/>
        <w:spacing w:after="100" w:before="200"/>
      </w:pPr>
      <w:r>
        <w:t xml:space="preserve">SupplierService — key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createSupplier() / updateSupplier() / toggleSupplier()</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Standard CRUD with soft-delete via active-flag toggle, consistent with the rest of the system's soft-delete convention.</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createPo(PurchaseOrderDto)</w:t>
            </w:r>
          </w:p>
        </w:tc>
        <w:tc>
          <w:tcPr>
            <w:tcW w:type="dxa" w:w="6600"/>
            <w:tcMar>
              <w:top w:type="dxa" w:w="70"/>
              <w:left w:type="dxa" w:w="100"/>
              <w:bottom w:type="dxa" w:w="70"/>
              <w:right w:type="dxa" w:w="100"/>
            </w:tcMar>
          </w:tcPr>
          <w:p>
            <w:pPr>
              <w:jc w:val="left"/>
            </w:pPr>
            <w:r>
              <w:rPr>
                <w:b w:val="false"/>
                <w:bCs w:val="false"/>
                <w:color w:val="111827"/>
                <w:sz w:val="18"/>
                <w:szCs w:val="18"/>
              </w:rPr>
              <w:t xml:space="preserve">Persists a new PurchaseOrder with its lines, generating a human-readable PO number from an in-memory AtomicLong sequence seeded at 1000.</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updatePoStatus(id, PoStatus)</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Manual status transition endpoint, used for statuses not implied by GRN activity (e.g. cancelling a PO before any goods arrive).</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receiveGoods(GrnDto, authHeader)</w:t>
            </w:r>
          </w:p>
        </w:tc>
        <w:tc>
          <w:tcPr>
            <w:tcW w:type="dxa" w:w="6600"/>
            <w:tcMar>
              <w:top w:type="dxa" w:w="70"/>
              <w:left w:type="dxa" w:w="100"/>
              <w:bottom w:type="dxa" w:w="70"/>
              <w:right w:type="dxa" w:w="100"/>
            </w:tcMar>
          </w:tcPr>
          <w:p>
            <w:pPr>
              <w:jc w:val="left"/>
            </w:pPr>
            <w:r>
              <w:rPr>
                <w:b w:val="false"/>
                <w:bCs w:val="false"/>
                <w:color w:val="111827"/>
                <w:sz w:val="18"/>
                <w:szCs w:val="18"/>
              </w:rPr>
              <w:t xml:space="preserve">The core, previously-buggy workflow (fixed during the project): persists the GRN, bumps the matching PO line's receivedQuantity, derives the PO's overall status from line completion (rather than requiring the caller to separately PATCH the status — the GRN entry itself is the source of truth for how much of a PO has arrived), and calls pushStockIntoInventory() to actually apply the received quantity to inventory-service's stock levels. Before the fix, a GRN could be recorded without ever updating real stock, silently decoupling the paper trail from physical reality.</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pushStockIntoInventory(GrnDto, PurchaseOrder, authHeader)</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Makes an authenticated HTTP call to inventory-service's stock-movement endpoint (forwarding the caller's auth header, since inventory-service independently validates the token) to record an IN movement for each received line — this is the method that makes GRN receipt real.</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getGrnsForPo(poId)</w:t>
            </w:r>
          </w:p>
        </w:tc>
        <w:tc>
          <w:tcPr>
            <w:tcW w:type="dxa" w:w="6600"/>
            <w:tcMar>
              <w:top w:type="dxa" w:w="70"/>
              <w:left w:type="dxa" w:w="100"/>
              <w:bottom w:type="dxa" w:w="70"/>
              <w:right w:type="dxa" w:w="100"/>
            </w:tcMar>
          </w:tcPr>
          <w:p>
            <w:pPr>
              <w:jc w:val="left"/>
            </w:pPr>
            <w:r>
              <w:rPr>
                <w:b w:val="false"/>
                <w:bCs w:val="false"/>
                <w:color w:val="111827"/>
                <w:sz w:val="18"/>
                <w:szCs w:val="18"/>
              </w:rPr>
              <w:t xml:space="preserve">Read path returning the full receipt history for a purchase order, used to show partial-fulfillment progress.</w:t>
            </w:r>
          </w:p>
        </w:tc>
      </w:tr>
    </w:tbl>
    <w:p>
      <w:pPr>
        <w:pStyle w:val="Heading3"/>
        <w:spacing w:after="100" w:before="200"/>
      </w:pPr>
      <w:r>
        <w:t xml:space="preserve">Controller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F2A44" w:val="clear"/>
            <w:tcMar>
              <w:top w:type="dxa" w:w="70"/>
              <w:left w:type="dxa" w:w="100"/>
              <w:bottom w:type="dxa" w:w="70"/>
              <w:right w:type="dxa" w:w="100"/>
            </w:tcMar>
          </w:tcPr>
          <w:p>
            <w:pPr>
              <w:jc w:val="left"/>
            </w:pPr>
            <w:r>
              <w:rPr>
                <w:b/>
                <w:bCs/>
                <w:color w:val="FFFFFF"/>
                <w:sz w:val="18"/>
                <w:szCs w:val="18"/>
              </w:rPr>
              <w:t xml:space="preserve">Controller</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Endpoints</w:t>
            </w:r>
          </w:p>
        </w:tc>
      </w:tr>
      <w:tr>
        <w:tc>
          <w:tcPr>
            <w:tcW w:type="dxa" w:w="2400"/>
            <w:shd w:fill="EEF2F8" w:val="clear"/>
            <w:tcMar>
              <w:top w:type="dxa" w:w="70"/>
              <w:left w:type="dxa" w:w="100"/>
              <w:bottom w:type="dxa" w:w="70"/>
              <w:right w:type="dxa" w:w="100"/>
            </w:tcMar>
          </w:tcPr>
          <w:p>
            <w:pPr>
              <w:jc w:val="left"/>
            </w:pPr>
            <w:r>
              <w:rPr>
                <w:b w:val="false"/>
                <w:bCs w:val="false"/>
                <w:color w:val="111827"/>
                <w:sz w:val="18"/>
                <w:szCs w:val="18"/>
              </w:rPr>
              <w:t xml:space="preserve">SupplierController</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/api/suppliers — CRUD + toggle; /api/purchase-orders — create, list (optionally by status), status update, GRN sub-resource (list/receive)</w:t>
            </w:r>
          </w:p>
        </w:tc>
      </w:tr>
    </w:tbl>
    <w:p>
      <w:pPr>
        <w:pStyle w:val="Heading2"/>
        <w:spacing w:after="120" w:before="260"/>
      </w:pPr>
      <w:r>
        <w:t xml:space="preserve">3.6 shared-lib</w:t>
      </w:r>
    </w:p>
    <w:p>
      <w:pPr>
        <w:spacing w:after="120"/>
      </w:pPr>
      <w:r>
        <w:t xml:space="preserve">A minimal, deliberately-scoped Maven module (not a framework) shared across services.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JwtUtil (class)</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A stateless (no @Component) JWT sign/validate/parse wrapper bound at construction to exactly one secret and one JwtTokenType (SESSION/ACCESS/REFRESH). Every token it issues carries a typ claim; validateAndParse() rejects any token whose typ doesn't match this instance's configured type — defense-in-depth beyond just using separate secrets per token purpose, so a leaked session token can never be replayed as an access token even if secrets were ever accidentally shared.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JwtUtil.isValid(token) / validateAndParse(token) / generateToken(...)</w:t>
            </w:r>
          </w:p>
        </w:tc>
        <w:tc>
          <w:tcPr>
            <w:tcW w:type="dxa" w:w="6600"/>
            <w:tcMar>
              <w:top w:type="dxa" w:w="70"/>
              <w:left w:type="dxa" w:w="100"/>
              <w:bottom w:type="dxa" w:w="70"/>
              <w:right w:type="dxa" w:w="100"/>
            </w:tcMar>
          </w:tcPr>
          <w:p>
            <w:pPr>
              <w:jc w:val="left"/>
            </w:pPr>
            <w:r>
              <w:rPr>
                <w:b w:val="false"/>
                <w:bCs w:val="false"/>
                <w:color w:val="111827"/>
                <w:sz w:val="18"/>
                <w:szCs w:val="18"/>
              </w:rPr>
              <w:t xml:space="preserve">Signature/expiry/type validation, claim extraction, and token issuance respectively — the three operations every consuming service needs, with no service-specific logic leaking into the shared class.</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JwtTokenType (enum)</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SESSION, ACCESS, REFRESH — the values written into each token's typ claim and checked against on validation.</w:t>
            </w:r>
          </w:p>
        </w:tc>
      </w:tr>
    </w:tbl>
    <w:p>
      <w:pPr>
        <w:spacing w:after="120"/>
      </w:pPr>
      <w:r>
        <w:t xml:space="preserve">Each service registers one @Bean per JwtUtil instance it needs, qualified by name (e.g. @Qualifier("accessJwtUtil")). auth-service registers all three (session/access/refresh); inventory-service and supplier-service, which only ever validate incoming access tokens, register just the access-typed bean.</w:t>
      </w:r>
    </w:p>
    <w:p>
      <w:pPr>
        <w:pStyle w:val="Heading1"/>
        <w:spacing w:after="160" w:before="320"/>
      </w:pPr>
      <w:r>
        <w:t xml:space="preserve">4. Frontend Architecture</w:t>
      </w:r>
    </w:p>
    <w:p>
      <w:pPr>
        <w:pStyle w:val="Heading2"/>
        <w:spacing w:after="120" w:before="260"/>
      </w:pPr>
      <w:r>
        <w:t xml:space="preserve">4.1 Shell application (frontend/shell)</w:t>
      </w:r>
    </w:p>
    <w:p>
      <w:pPr>
        <w:spacing w:after="120"/>
      </w:pPr>
      <w:r>
        <w:t xml:space="preserve">The shell owns routing, authentication state, layout chrome, and loads every feature page as a lazily-imported Module Federation remote.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A44" w:val="clear"/>
            <w:tcMar>
              <w:top w:type="dxa" w:w="70"/>
              <w:left w:type="dxa" w:w="100"/>
              <w:bottom w:type="dxa" w:w="70"/>
              <w:right w:type="dxa" w:w="100"/>
            </w:tcMar>
          </w:tcPr>
          <w:p>
            <w:pPr>
              <w:jc w:val="left"/>
            </w:pPr>
            <w:r>
              <w:rPr>
                <w:b/>
                <w:bCs/>
                <w:color w:val="FFFFFF"/>
                <w:sz w:val="18"/>
                <w:szCs w:val="18"/>
              </w:rPr>
              <w:t xml:space="preserve">Method</w:t>
            </w:r>
          </w:p>
        </w:tc>
        <w:tc>
          <w:tcPr>
            <w:tcW w:type="dxa" w:w="6600"/>
            <w:shd w:fill="1F2A44" w:val="clear"/>
            <w:tcMar>
              <w:top w:type="dxa" w:w="70"/>
              <w:left w:type="dxa" w:w="100"/>
              <w:bottom w:type="dxa" w:w="70"/>
              <w:right w:type="dxa" w:w="100"/>
            </w:tcMar>
          </w:tcPr>
          <w:p>
            <w:pPr>
              <w:jc w:val="left"/>
            </w:pPr>
            <w:r>
              <w:rPr>
                <w:b/>
                <w:bCs/>
                <w:color w:val="FFFFFF"/>
                <w:sz w:val="18"/>
                <w:szCs w:val="18"/>
              </w:rPr>
              <w:t xml:space="preserve">Purpose &amp; logic</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App.jsx — route table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Maps each URL path to a lazily-imported component from one of the five remotes (e.g. const ProductsPage = lazy(() =&gt; import('productsMfe/ProductsPage'))). Public routes (login/signup/forgot-password) redirect to '/' if already authenticated; all feature routes are wrapped in ProtectedRoute plus a per-route MfeErrorBoundary and Suspense boundary.</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MfeErrorBoundary (class component)</w:t>
            </w:r>
          </w:p>
        </w:tc>
        <w:tc>
          <w:tcPr>
            <w:tcW w:type="dxa" w:w="6600"/>
            <w:tcMar>
              <w:top w:type="dxa" w:w="70"/>
              <w:left w:type="dxa" w:w="100"/>
              <w:bottom w:type="dxa" w:w="70"/>
              <w:right w:type="dxa" w:w="100"/>
            </w:tcMar>
          </w:tcPr>
          <w:p>
            <w:pPr>
              <w:jc w:val="left"/>
            </w:pPr>
            <w:r>
              <w:rPr>
                <w:b w:val="false"/>
                <w:bCs w:val="false"/>
                <w:color w:val="111827"/>
                <w:sz w:val="18"/>
                <w:szCs w:val="18"/>
              </w:rPr>
              <w:t xml:space="preserve">A React error boundary scoped to exactly one MFE at a time. Without it, a single failed remote — e.g. remoteEntry.js returning a 404 or throwing a SyntaxError — would crash the entire React tree into a blank page; with it, only that one page shows a retry-able error card while the rest of the app keeps working.</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AuthContext.login(response)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Called after verifyLogin/verifySignup succeeds. Extracts the user profile fields from the response, stores the access token via setToken() and the profile in sessionStorage, and updates React state — this is the single place a tab's authenticated identity is established.</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AuthContext.logout()</w:t>
            </w:r>
          </w:p>
        </w:tc>
        <w:tc>
          <w:tcPr>
            <w:tcW w:type="dxa" w:w="6600"/>
            <w:tcMar>
              <w:top w:type="dxa" w:w="70"/>
              <w:left w:type="dxa" w:w="100"/>
              <w:bottom w:type="dxa" w:w="70"/>
              <w:right w:type="dxa" w:w="100"/>
            </w:tcMar>
          </w:tcPr>
          <w:p>
            <w:pPr>
              <w:jc w:val="left"/>
            </w:pPr>
            <w:r>
              <w:rPr>
                <w:b w:val="false"/>
                <w:bCs w:val="false"/>
                <w:color w:val="111827"/>
                <w:sz w:val="18"/>
                <w:szCs w:val="18"/>
              </w:rPr>
              <w:t xml:space="preserve">Clears this tab's sessionStorage and React state immediately (optimistic client-side logout), then best-effort calls POST /api/auth/logout with credentials:'include' so the refresh token is also revoked server-side; network failure during this call is intentionally swallowed since the client-side logout has already taken effect.</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AuthContext — isAdmin / isManager / isStakeholder / canWrite</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Derived booleans computed from user.role on every render, consumed throughout the app (including inside federated MFEs via the wrapper pattern) to gate write actions and admin-only routes without each page re-deriving role logic.</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ProtectedRoute</w:t>
            </w:r>
          </w:p>
        </w:tc>
        <w:tc>
          <w:tcPr>
            <w:tcW w:type="dxa" w:w="6600"/>
            <w:tcMar>
              <w:top w:type="dxa" w:w="70"/>
              <w:left w:type="dxa" w:w="100"/>
              <w:bottom w:type="dxa" w:w="70"/>
              <w:right w:type="dxa" w:w="100"/>
            </w:tcMar>
          </w:tcPr>
          <w:p>
            <w:pPr>
              <w:jc w:val="left"/>
            </w:pPr>
            <w:r>
              <w:rPr>
                <w:b w:val="false"/>
                <w:bCs w:val="false"/>
                <w:color w:val="111827"/>
                <w:sz w:val="18"/>
                <w:szCs w:val="18"/>
              </w:rPr>
              <w:t xml:space="preserve">Redirects unauthenticated users to /login, and (when adminOnly is set, as on /users) redirects non-admins away from admin-only pages — a client-side convenience layer; the actual authorization boundary is enforced server-side by each backend service's @PreAuthorize checks.</w:t>
            </w:r>
          </w:p>
        </w:tc>
      </w:tr>
      <w:tr>
        <w:tc>
          <w:tcPr>
            <w:tcW w:type="dxa" w:w="3000"/>
            <w:shd w:fill="EEF2F8" w:val="clear"/>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api/client.js — request interceptor</w:t>
            </w:r>
          </w:p>
        </w:tc>
        <w:tc>
          <w:tcPr>
            <w:tcW w:type="dxa" w:w="6600"/>
            <w:shd w:fill="EEF2F8" w:val="clear"/>
            <w:tcMar>
              <w:top w:type="dxa" w:w="70"/>
              <w:left w:type="dxa" w:w="100"/>
              <w:bottom w:type="dxa" w:w="70"/>
              <w:right w:type="dxa" w:w="100"/>
            </w:tcMar>
          </w:tcPr>
          <w:p>
            <w:pPr>
              <w:jc w:val="left"/>
            </w:pPr>
            <w:r>
              <w:rPr>
                <w:b w:val="false"/>
                <w:bCs w:val="false"/>
                <w:color w:val="111827"/>
                <w:sz w:val="18"/>
                <w:szCs w:val="18"/>
              </w:rPr>
              <w:t xml:space="preserve">Attaches Authorization: Bearer &lt;token&gt; from this tab's sessionStorage to every outgoing request.</w:t>
            </w:r>
          </w:p>
        </w:tc>
      </w:tr>
      <w:tr>
        <w:tc>
          <w:tcPr>
            <w:tcW w:type="dxa" w:w="3000"/>
            <w:tcMar>
              <w:top w:type="dxa" w:w="70"/>
              <w:left w:type="dxa" w:w="100"/>
              <w:bottom w:type="dxa" w:w="70"/>
              <w:right w:type="dxa" w:w="100"/>
            </w:tcMar>
          </w:tcPr>
          <w:p>
            <w:pPr>
              <w:jc w:val="left"/>
            </w:pPr>
            <w:r>
              <w:rPr>
                <w:rFonts w:ascii="Consolas" w:cs="Consolas" w:eastAsia="Consolas" w:hAnsi="Consolas"/>
                <w:b w:val="false"/>
                <w:bCs w:val="false"/>
                <w:color w:val="111827"/>
                <w:sz w:val="18"/>
                <w:szCs w:val="18"/>
              </w:rPr>
              <w:t xml:space="preserve">api/client.js — response interceptor</w:t>
            </w:r>
          </w:p>
        </w:tc>
        <w:tc>
          <w:tcPr>
            <w:tcW w:type="dxa" w:w="6600"/>
            <w:tcMar>
              <w:top w:type="dxa" w:w="70"/>
              <w:left w:type="dxa" w:w="100"/>
              <w:bottom w:type="dxa" w:w="70"/>
              <w:right w:type="dxa" w:w="100"/>
            </w:tcMar>
          </w:tcPr>
          <w:p>
            <w:pPr>
              <w:jc w:val="left"/>
            </w:pPr>
            <w:r>
              <w:rPr>
                <w:b w:val="false"/>
                <w:bCs w:val="false"/>
                <w:color w:val="111827"/>
                <w:sz w:val="18"/>
                <w:szCs w:val="18"/>
              </w:rPr>
              <w:t xml:space="preserve">On a 401 from any non-auth endpoint, triggers the refresh flow described in section 2.3: calls /api/auth/refresh, stores the rotated token, retries the original request, and queues any other requests that 401'd while a refresh was already in flight so only one refresh call is made per expiry.</w:t>
            </w:r>
          </w:p>
        </w:tc>
      </w:tr>
    </w:tbl>
    <w:p>
      <w:pPr>
        <w:pStyle w:val="Heading2"/>
        <w:spacing w:after="120" w:before="260"/>
      </w:pPr>
      <w:r>
        <w:t xml:space="preserve">4.2 Module Federation MFEs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400"/>
      </w:tblGrid>
      <w:tr>
        <w:trPr>
          <w:tblHeader/>
        </w:trPr>
        <w:tc>
          <w:tcPr>
            <w:tcW w:type="dxa" w:w="2000"/>
            <w:shd w:fill="1F2A44" w:val="clear"/>
            <w:tcMar>
              <w:top w:type="dxa" w:w="70"/>
              <w:left w:type="dxa" w:w="100"/>
              <w:bottom w:type="dxa" w:w="70"/>
              <w:right w:type="dxa" w:w="100"/>
            </w:tcMar>
          </w:tcPr>
          <w:p>
            <w:pPr>
              <w:jc w:val="left"/>
            </w:pPr>
            <w:r>
              <w:rPr>
                <w:b/>
                <w:bCs/>
                <w:color w:val="FFFFFF"/>
                <w:sz w:val="18"/>
                <w:szCs w:val="18"/>
              </w:rPr>
              <w:t xml:space="preserve">MFE</w:t>
            </w:r>
          </w:p>
        </w:tc>
        <w:tc>
          <w:tcPr>
            <w:tcW w:type="dxa" w:w="1400"/>
            <w:shd w:fill="1F2A44" w:val="clear"/>
            <w:tcMar>
              <w:top w:type="dxa" w:w="70"/>
              <w:left w:type="dxa" w:w="100"/>
              <w:bottom w:type="dxa" w:w="70"/>
              <w:right w:type="dxa" w:w="100"/>
            </w:tcMar>
          </w:tcPr>
          <w:p>
            <w:pPr>
              <w:jc w:val="left"/>
            </w:pPr>
            <w:r>
              <w:rPr>
                <w:b/>
                <w:bCs/>
                <w:color w:val="FFFFFF"/>
                <w:sz w:val="18"/>
                <w:szCs w:val="18"/>
              </w:rPr>
              <w:t xml:space="preserve">Dev port</w:t>
            </w:r>
          </w:p>
        </w:tc>
        <w:tc>
          <w:tcPr>
            <w:tcW w:type="dxa" w:w="5400"/>
            <w:shd w:fill="1F2A44" w:val="clear"/>
            <w:tcMar>
              <w:top w:type="dxa" w:w="70"/>
              <w:left w:type="dxa" w:w="100"/>
              <w:bottom w:type="dxa" w:w="70"/>
              <w:right w:type="dxa" w:w="100"/>
            </w:tcMar>
          </w:tcPr>
          <w:p>
            <w:pPr>
              <w:jc w:val="left"/>
            </w:pPr>
            <w:r>
              <w:rPr>
                <w:b/>
                <w:bCs/>
                <w:color w:val="FFFFFF"/>
                <w:sz w:val="18"/>
                <w:szCs w:val="18"/>
              </w:rPr>
              <w:t xml:space="preserve">Pages owned</w:t>
            </w:r>
          </w:p>
        </w:tc>
      </w:tr>
      <w:tr>
        <w:tc>
          <w:tcPr>
            <w:tcW w:type="dxa" w:w="2000"/>
            <w:shd w:fill="EEF2F8" w:val="clear"/>
            <w:tcMar>
              <w:top w:type="dxa" w:w="70"/>
              <w:left w:type="dxa" w:w="100"/>
              <w:bottom w:type="dxa" w:w="70"/>
              <w:right w:type="dxa" w:w="100"/>
            </w:tcMar>
          </w:tcPr>
          <w:p>
            <w:pPr>
              <w:jc w:val="left"/>
            </w:pPr>
            <w:r>
              <w:rPr>
                <w:b w:val="false"/>
                <w:bCs w:val="false"/>
                <w:color w:val="111827"/>
                <w:sz w:val="18"/>
                <w:szCs w:val="18"/>
              </w:rPr>
              <w:t xml:space="preserve">dashboard-mfe</w:t>
            </w:r>
          </w:p>
        </w:tc>
        <w:tc>
          <w:tcPr>
            <w:tcW w:type="dxa" w:w="1400"/>
            <w:shd w:fill="EEF2F8" w:val="clear"/>
            <w:tcMar>
              <w:top w:type="dxa" w:w="70"/>
              <w:left w:type="dxa" w:w="100"/>
              <w:bottom w:type="dxa" w:w="70"/>
              <w:right w:type="dxa" w:w="100"/>
            </w:tcMar>
          </w:tcPr>
          <w:p>
            <w:pPr>
              <w:jc w:val="left"/>
            </w:pPr>
            <w:r>
              <w:rPr>
                <w:b w:val="false"/>
                <w:bCs w:val="false"/>
                <w:color w:val="111827"/>
                <w:sz w:val="18"/>
                <w:szCs w:val="18"/>
              </w:rPr>
              <w:t xml:space="preserve">3001</w:t>
            </w:r>
          </w:p>
        </w:tc>
        <w:tc>
          <w:tcPr>
            <w:tcW w:type="dxa" w:w="5400"/>
            <w:shd w:fill="EEF2F8" w:val="clear"/>
            <w:tcMar>
              <w:top w:type="dxa" w:w="70"/>
              <w:left w:type="dxa" w:w="100"/>
              <w:bottom w:type="dxa" w:w="70"/>
              <w:right w:type="dxa" w:w="100"/>
            </w:tcMar>
          </w:tcPr>
          <w:p>
            <w:pPr>
              <w:jc w:val="left"/>
            </w:pPr>
            <w:r>
              <w:rPr>
                <w:b w:val="false"/>
                <w:bCs w:val="false"/>
                <w:color w:val="111827"/>
                <w:sz w:val="18"/>
                <w:szCs w:val="18"/>
              </w:rPr>
              <w:t xml:space="preserve">DashboardPage — summary tiles and trend overview</w:t>
            </w:r>
          </w:p>
        </w:tc>
      </w:tr>
      <w:tr>
        <w:tc>
          <w:tcPr>
            <w:tcW w:type="dxa" w:w="2000"/>
            <w:tcMar>
              <w:top w:type="dxa" w:w="70"/>
              <w:left w:type="dxa" w:w="100"/>
              <w:bottom w:type="dxa" w:w="70"/>
              <w:right w:type="dxa" w:w="100"/>
            </w:tcMar>
          </w:tcPr>
          <w:p>
            <w:pPr>
              <w:jc w:val="left"/>
            </w:pPr>
            <w:r>
              <w:rPr>
                <w:b w:val="false"/>
                <w:bCs w:val="false"/>
                <w:color w:val="111827"/>
                <w:sz w:val="18"/>
                <w:szCs w:val="18"/>
              </w:rPr>
              <w:t xml:space="preserve">products-mfe</w:t>
            </w:r>
          </w:p>
        </w:tc>
        <w:tc>
          <w:tcPr>
            <w:tcW w:type="dxa" w:w="1400"/>
            <w:tcMar>
              <w:top w:type="dxa" w:w="70"/>
              <w:left w:type="dxa" w:w="100"/>
              <w:bottom w:type="dxa" w:w="70"/>
              <w:right w:type="dxa" w:w="100"/>
            </w:tcMar>
          </w:tcPr>
          <w:p>
            <w:pPr>
              <w:jc w:val="left"/>
            </w:pPr>
            <w:r>
              <w:rPr>
                <w:b w:val="false"/>
                <w:bCs w:val="false"/>
                <w:color w:val="111827"/>
                <w:sz w:val="18"/>
                <w:szCs w:val="18"/>
              </w:rPr>
              <w:t xml:space="preserve">3002</w:t>
            </w:r>
          </w:p>
        </w:tc>
        <w:tc>
          <w:tcPr>
            <w:tcW w:type="dxa" w:w="5400"/>
            <w:tcMar>
              <w:top w:type="dxa" w:w="70"/>
              <w:left w:type="dxa" w:w="100"/>
              <w:bottom w:type="dxa" w:w="70"/>
              <w:right w:type="dxa" w:w="100"/>
            </w:tcMar>
          </w:tcPr>
          <w:p>
            <w:pPr>
              <w:jc w:val="left"/>
            </w:pPr>
            <w:r>
              <w:rPr>
                <w:b w:val="false"/>
                <w:bCs w:val="false"/>
                <w:color w:val="111827"/>
                <w:sz w:val="18"/>
                <w:szCs w:val="18"/>
              </w:rPr>
              <w:t xml:space="preserve">ProductsPage, LocationsPage, BatchLotsPage, CycleCountsPage, UomPage</w:t>
            </w:r>
          </w:p>
        </w:tc>
      </w:tr>
      <w:tr>
        <w:tc>
          <w:tcPr>
            <w:tcW w:type="dxa" w:w="2000"/>
            <w:shd w:fill="EEF2F8" w:val="clear"/>
            <w:tcMar>
              <w:top w:type="dxa" w:w="70"/>
              <w:left w:type="dxa" w:w="100"/>
              <w:bottom w:type="dxa" w:w="70"/>
              <w:right w:type="dxa" w:w="100"/>
            </w:tcMar>
          </w:tcPr>
          <w:p>
            <w:pPr>
              <w:jc w:val="left"/>
            </w:pPr>
            <w:r>
              <w:rPr>
                <w:b w:val="false"/>
                <w:bCs w:val="false"/>
                <w:color w:val="111827"/>
                <w:sz w:val="18"/>
                <w:szCs w:val="18"/>
              </w:rPr>
              <w:t xml:space="preserve">stock-mfe</w:t>
            </w:r>
          </w:p>
        </w:tc>
        <w:tc>
          <w:tcPr>
            <w:tcW w:type="dxa" w:w="1400"/>
            <w:shd w:fill="EEF2F8" w:val="clear"/>
            <w:tcMar>
              <w:top w:type="dxa" w:w="70"/>
              <w:left w:type="dxa" w:w="100"/>
              <w:bottom w:type="dxa" w:w="70"/>
              <w:right w:type="dxa" w:w="100"/>
            </w:tcMar>
          </w:tcPr>
          <w:p>
            <w:pPr>
              <w:jc w:val="left"/>
            </w:pPr>
            <w:r>
              <w:rPr>
                <w:b w:val="false"/>
                <w:bCs w:val="false"/>
                <w:color w:val="111827"/>
                <w:sz w:val="18"/>
                <w:szCs w:val="18"/>
              </w:rPr>
              <w:t xml:space="preserve">3003</w:t>
            </w:r>
          </w:p>
        </w:tc>
        <w:tc>
          <w:tcPr>
            <w:tcW w:type="dxa" w:w="5400"/>
            <w:shd w:fill="EEF2F8" w:val="clear"/>
            <w:tcMar>
              <w:top w:type="dxa" w:w="70"/>
              <w:left w:type="dxa" w:w="100"/>
              <w:bottom w:type="dxa" w:w="70"/>
              <w:right w:type="dxa" w:w="100"/>
            </w:tcMar>
          </w:tcPr>
          <w:p>
            <w:pPr>
              <w:jc w:val="left"/>
            </w:pPr>
            <w:r>
              <w:rPr>
                <w:b w:val="false"/>
                <w:bCs w:val="false"/>
                <w:color w:val="111827"/>
                <w:sz w:val="18"/>
                <w:szCs w:val="18"/>
              </w:rPr>
              <w:t xml:space="preserve">StockPage, MovementsPage</w:t>
            </w:r>
          </w:p>
        </w:tc>
      </w:tr>
      <w:tr>
        <w:tc>
          <w:tcPr>
            <w:tcW w:type="dxa" w:w="2000"/>
            <w:tcMar>
              <w:top w:type="dxa" w:w="70"/>
              <w:left w:type="dxa" w:w="100"/>
              <w:bottom w:type="dxa" w:w="70"/>
              <w:right w:type="dxa" w:w="100"/>
            </w:tcMar>
          </w:tcPr>
          <w:p>
            <w:pPr>
              <w:jc w:val="left"/>
            </w:pPr>
            <w:r>
              <w:rPr>
                <w:b w:val="false"/>
                <w:bCs w:val="false"/>
                <w:color w:val="111827"/>
                <w:sz w:val="18"/>
                <w:szCs w:val="18"/>
              </w:rPr>
              <w:t xml:space="preserve">supplier-mfe</w:t>
            </w:r>
          </w:p>
        </w:tc>
        <w:tc>
          <w:tcPr>
            <w:tcW w:type="dxa" w:w="1400"/>
            <w:tcMar>
              <w:top w:type="dxa" w:w="70"/>
              <w:left w:type="dxa" w:w="100"/>
              <w:bottom w:type="dxa" w:w="70"/>
              <w:right w:type="dxa" w:w="100"/>
            </w:tcMar>
          </w:tcPr>
          <w:p>
            <w:pPr>
              <w:jc w:val="left"/>
            </w:pPr>
            <w:r>
              <w:rPr>
                <w:b w:val="false"/>
                <w:bCs w:val="false"/>
                <w:color w:val="111827"/>
                <w:sz w:val="18"/>
                <w:szCs w:val="18"/>
              </w:rPr>
              <w:t xml:space="preserve">3004</w:t>
            </w:r>
          </w:p>
        </w:tc>
        <w:tc>
          <w:tcPr>
            <w:tcW w:type="dxa" w:w="5400"/>
            <w:tcMar>
              <w:top w:type="dxa" w:w="70"/>
              <w:left w:type="dxa" w:w="100"/>
              <w:bottom w:type="dxa" w:w="70"/>
              <w:right w:type="dxa" w:w="100"/>
            </w:tcMar>
          </w:tcPr>
          <w:p>
            <w:pPr>
              <w:jc w:val="left"/>
            </w:pPr>
            <w:r>
              <w:rPr>
                <w:b w:val="false"/>
                <w:bCs w:val="false"/>
                <w:color w:val="111827"/>
                <w:sz w:val="18"/>
                <w:szCs w:val="18"/>
              </w:rPr>
              <w:t xml:space="preserve">SuppliersPage, PurchaseOrdersPage</w:t>
            </w:r>
          </w:p>
        </w:tc>
      </w:tr>
      <w:tr>
        <w:tc>
          <w:tcPr>
            <w:tcW w:type="dxa" w:w="2000"/>
            <w:shd w:fill="EEF2F8" w:val="clear"/>
            <w:tcMar>
              <w:top w:type="dxa" w:w="70"/>
              <w:left w:type="dxa" w:w="100"/>
              <w:bottom w:type="dxa" w:w="70"/>
              <w:right w:type="dxa" w:w="100"/>
            </w:tcMar>
          </w:tcPr>
          <w:p>
            <w:pPr>
              <w:jc w:val="left"/>
            </w:pPr>
            <w:r>
              <w:rPr>
                <w:b w:val="false"/>
                <w:bCs w:val="false"/>
                <w:color w:val="111827"/>
                <w:sz w:val="18"/>
                <w:szCs w:val="18"/>
              </w:rPr>
              <w:t xml:space="preserve">reporting-mfe</w:t>
            </w:r>
          </w:p>
        </w:tc>
        <w:tc>
          <w:tcPr>
            <w:tcW w:type="dxa" w:w="1400"/>
            <w:shd w:fill="EEF2F8" w:val="clear"/>
            <w:tcMar>
              <w:top w:type="dxa" w:w="70"/>
              <w:left w:type="dxa" w:w="100"/>
              <w:bottom w:type="dxa" w:w="70"/>
              <w:right w:type="dxa" w:w="100"/>
            </w:tcMar>
          </w:tcPr>
          <w:p>
            <w:pPr>
              <w:jc w:val="left"/>
            </w:pPr>
            <w:r>
              <w:rPr>
                <w:b w:val="false"/>
                <w:bCs w:val="false"/>
                <w:color w:val="111827"/>
                <w:sz w:val="18"/>
                <w:szCs w:val="18"/>
              </w:rPr>
              <w:t xml:space="preserve">3005</w:t>
            </w:r>
          </w:p>
        </w:tc>
        <w:tc>
          <w:tcPr>
            <w:tcW w:type="dxa" w:w="5400"/>
            <w:shd w:fill="EEF2F8" w:val="clear"/>
            <w:tcMar>
              <w:top w:type="dxa" w:w="70"/>
              <w:left w:type="dxa" w:w="100"/>
              <w:bottom w:type="dxa" w:w="70"/>
              <w:right w:type="dxa" w:w="100"/>
            </w:tcMar>
          </w:tcPr>
          <w:p>
            <w:pPr>
              <w:jc w:val="left"/>
            </w:pPr>
            <w:r>
              <w:rPr>
                <w:b w:val="false"/>
                <w:bCs w:val="false"/>
                <w:color w:val="111827"/>
                <w:sz w:val="18"/>
                <w:szCs w:val="18"/>
              </w:rPr>
              <w:t xml:space="preserve">ReportsPage, UsersPage (admin-only)</w:t>
            </w:r>
          </w:p>
        </w:tc>
      </w:tr>
    </w:tbl>
    <w:p>
      <w:pPr>
        <w:spacing w:after="120"/>
      </w:pPr>
      <w:r>
        <w:t xml:space="preserve"/>
      </w:r>
    </w:p>
    <w:p>
      <w:pPr>
        <w:pStyle w:val="Heading3"/>
        <w:spacing w:after="100" w:before="200"/>
      </w:pPr>
      <w:r>
        <w:t xml:space="preserve">The *Federated.jsx wrapper pattern</w:t>
      </w:r>
    </w:p>
    <w:p>
      <w:pPr>
        <w:spacing w:after="120"/>
      </w:pPr>
      <w:r>
        <w:t xml:space="preserve">Module Federation does not share React Context across remote boundaries — the shell's AuthProvider and each MFE's own authContext.jsx are two distinct Context instances at runtime, even though the code looks identical. Without intervention, any component consuming useAuth() inside a federated remote would see the safe default context value (canWrite: false, user: null) regardless of who is actually logged in. Every page component that needs auth state is therefore exported through a small wrapper, e.g.:</w:t>
      </w:r>
    </w:p>
    <w:p>
      <w:pPr>
        <w:shd w:fill="F3F4F6" w:val="clear"/>
        <w:spacing w:after="120" w:before="60"/>
      </w:pPr>
      <w:r>
        <w:rPr>
          <w:rFonts w:ascii="Consolas" w:cs="Consolas" w:eastAsia="Consolas" w:hAnsi="Consolas"/>
          <w:color w:val="1F2A44"/>
          <w:sz w:val="19"/>
          <w:szCs w:val="19"/>
        </w:rPr>
        <w:t xml:space="preserve">export default function DashboardPage(props) {
  return (
    &lt;AuthProvider&gt;
      &lt;DashboardPageRaw {...props} /&gt;
    &lt;/AuthProvider&gt;
  )
}</w:t>
      </w:r>
    </w:p>
    <w:p>
      <w:pPr>
        <w:spacing w:after="120"/>
      </w:pPr>
      <w:r>
        <w:t xml:space="preserve">This re-supplies that MFE's own AuthProvider around the real page component, so useAuth() inside it resolves correctly. Each MFE's authContext.jsx independently reads the same sessionStorage keys (access_token, user) that the shell writes, so all five MFEs and the shell stay consistent without any cross-context data passing.</w:t>
      </w:r>
    </w:p>
    <w:p>
      <w:pPr>
        <w:pStyle w:val="Heading3"/>
        <w:spacing w:after="100" w:before="200"/>
      </w:pPr>
      <w:r>
        <w:t xml:space="preserve">Per-MFE client.js</w:t>
      </w:r>
    </w:p>
    <w:p>
      <w:pPr>
        <w:spacing w:after="120"/>
      </w:pPr>
      <w:r>
        <w:t xml:space="preserve">Each MFE ships its own thin client.js re-exporting the relevant slice of the same API surface as the shell's api/client.js (e.g. stock-mfe's client only needs the inventoryApi.* stock/movement calls), keeping each remote's bundle free of API methods it never calls.</w:t>
      </w:r>
    </w:p>
    <w:p>
      <w:pPr>
        <w:pStyle w:val="Heading1"/>
        <w:spacing w:after="160" w:before="320"/>
      </w:pPr>
      <w:r>
        <w:t xml:space="preserve">5. Infrastructure &amp; Deployment Flow</w:t>
      </w:r>
    </w:p>
    <w:p>
      <w:pPr>
        <w:pStyle w:val="Heading2"/>
        <w:spacing w:after="120" w:before="260"/>
      </w:pPr>
      <w:r>
        <w:t xml:space="preserve">5.1 Terraform layout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2A44" w:val="clear"/>
            <w:tcMar>
              <w:top w:type="dxa" w:w="70"/>
              <w:left w:type="dxa" w:w="100"/>
              <w:bottom w:type="dxa" w:w="70"/>
              <w:right w:type="dxa" w:w="100"/>
            </w:tcMar>
          </w:tcPr>
          <w:p>
            <w:pPr>
              <w:jc w:val="left"/>
            </w:pPr>
            <w:r>
              <w:rPr>
                <w:b/>
                <w:bCs/>
                <w:color w:val="FFFFFF"/>
                <w:sz w:val="18"/>
                <w:szCs w:val="18"/>
              </w:rPr>
              <w:t xml:space="preserve">File</w:t>
            </w:r>
          </w:p>
        </w:tc>
        <w:tc>
          <w:tcPr>
            <w:tcW w:type="dxa" w:w="6200"/>
            <w:shd w:fill="1F2A44" w:val="clear"/>
            <w:tcMar>
              <w:top w:type="dxa" w:w="70"/>
              <w:left w:type="dxa" w:w="100"/>
              <w:bottom w:type="dxa" w:w="70"/>
              <w:right w:type="dxa" w:w="100"/>
            </w:tcMar>
          </w:tcPr>
          <w:p>
            <w:pPr>
              <w:jc w:val="left"/>
            </w:pPr>
            <w:r>
              <w:rPr>
                <w:b/>
                <w:bCs/>
                <w:color w:val="FFFFFF"/>
                <w:sz w:val="18"/>
                <w:szCs w:val="18"/>
              </w:rPr>
              <w:t xml:space="preserve">Provisions</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vpc.tf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VPC, 2 AZs, public/private subnets, 1 NAT gateway</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alb.tf</w:t>
            </w:r>
          </w:p>
        </w:tc>
        <w:tc>
          <w:tcPr>
            <w:tcW w:type="dxa" w:w="6200"/>
            <w:tcMar>
              <w:top w:type="dxa" w:w="70"/>
              <w:left w:type="dxa" w:w="100"/>
              <w:bottom w:type="dxa" w:w="70"/>
              <w:right w:type="dxa" w:w="100"/>
            </w:tcMar>
          </w:tcPr>
          <w:p>
            <w:pPr>
              <w:jc w:val="left"/>
            </w:pPr>
            <w:r>
              <w:rPr>
                <w:b w:val="false"/>
                <w:bCs w:val="false"/>
                <w:color w:val="111827"/>
                <w:sz w:val="18"/>
                <w:szCs w:val="18"/>
              </w:rPr>
              <w:t xml:space="preserve">Application Load Balancer, path-based target group routing across all 5 services + frontend</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acm.tf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Optional ACM certificate + validation, provisioned only when var.domain_name is non-empty</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asg.tf</w:t>
            </w:r>
          </w:p>
        </w:tc>
        <w:tc>
          <w:tcPr>
            <w:tcW w:type="dxa" w:w="6200"/>
            <w:tcMar>
              <w:top w:type="dxa" w:w="70"/>
              <w:left w:type="dxa" w:w="100"/>
              <w:bottom w:type="dxa" w:w="70"/>
              <w:right w:type="dxa" w:w="100"/>
            </w:tcMar>
          </w:tcPr>
          <w:p>
            <w:pPr>
              <w:jc w:val="left"/>
            </w:pPr>
            <w:r>
              <w:rPr>
                <w:b w:val="false"/>
                <w:bCs w:val="false"/>
                <w:color w:val="111827"/>
                <w:sz w:val="18"/>
                <w:szCs w:val="18"/>
              </w:rPr>
              <w:t xml:space="preserve">EC2 Auto Scaling Group for the ECS cluster's container instances (t3.large, min/max/desired from variables)</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ecs.tf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ECS cluster, task definitions and services for all 6 containers (5 backend + frontend), CPU/memory per service, desired_count and rolling deployment config</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rds.tf</w:t>
            </w:r>
          </w:p>
        </w:tc>
        <w:tc>
          <w:tcPr>
            <w:tcW w:type="dxa" w:w="6200"/>
            <w:tcMar>
              <w:top w:type="dxa" w:w="70"/>
              <w:left w:type="dxa" w:w="100"/>
              <w:bottom w:type="dxa" w:w="70"/>
              <w:right w:type="dxa" w:w="100"/>
            </w:tcMar>
          </w:tcPr>
          <w:p>
            <w:pPr>
              <w:jc w:val="left"/>
            </w:pPr>
            <w:r>
              <w:rPr>
                <w:b w:val="false"/>
                <w:bCs w:val="false"/>
                <w:color w:val="111827"/>
                <w:sz w:val="18"/>
                <w:szCs w:val="18"/>
              </w:rPr>
              <w:t xml:space="preserve">Shared primary MySQL instance (single-AZ) + dedicated read replica for reporting-service</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s3.tf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Product images, compliance reports, and VPC flow-log buckets, with versioning/lifecycle rules</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ecr.tf</w:t>
            </w:r>
          </w:p>
        </w:tc>
        <w:tc>
          <w:tcPr>
            <w:tcW w:type="dxa" w:w="6200"/>
            <w:tcMar>
              <w:top w:type="dxa" w:w="70"/>
              <w:left w:type="dxa" w:w="100"/>
              <w:bottom w:type="dxa" w:w="70"/>
              <w:right w:type="dxa" w:w="100"/>
            </w:tcMar>
          </w:tcPr>
          <w:p>
            <w:pPr>
              <w:jc w:val="left"/>
            </w:pPr>
            <w:r>
              <w:rPr>
                <w:b w:val="false"/>
                <w:bCs w:val="false"/>
                <w:color w:val="111827"/>
                <w:sz w:val="18"/>
                <w:szCs w:val="18"/>
              </w:rPr>
              <w:t xml:space="preserve">6 ECR repositories, IMMUTABLE tag mutability</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secrets.tf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5 SSM Parameter Store SecureString parameters (DB_PASS, 3× JWT secrets, MAIL_PASSWORD)</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security_groups.tf</w:t>
            </w:r>
          </w:p>
        </w:tc>
        <w:tc>
          <w:tcPr>
            <w:tcW w:type="dxa" w:w="6200"/>
            <w:tcMar>
              <w:top w:type="dxa" w:w="70"/>
              <w:left w:type="dxa" w:w="100"/>
              <w:bottom w:type="dxa" w:w="70"/>
              <w:right w:type="dxa" w:w="100"/>
            </w:tcMar>
          </w:tcPr>
          <w:p>
            <w:pPr>
              <w:jc w:val="left"/>
            </w:pPr>
            <w:r>
              <w:rPr>
                <w:b w:val="false"/>
                <w:bCs w:val="false"/>
                <w:color w:val="111827"/>
                <w:sz w:val="18"/>
                <w:szCs w:val="18"/>
              </w:rPr>
              <w:t xml:space="preserve">Per-tier security groups, scoped to actual service ports rather than 0-65535</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waf.tf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WAF ACL: auth-endpoint rate limiting + 3 AWS managed rule groups</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cloudwatch.tf</w:t>
            </w:r>
          </w:p>
        </w:tc>
        <w:tc>
          <w:tcPr>
            <w:tcW w:type="dxa" w:w="6200"/>
            <w:tcMar>
              <w:top w:type="dxa" w:w="70"/>
              <w:left w:type="dxa" w:w="100"/>
              <w:bottom w:type="dxa" w:w="70"/>
              <w:right w:type="dxa" w:w="100"/>
            </w:tcMar>
          </w:tcPr>
          <w:p>
            <w:pPr>
              <w:jc w:val="left"/>
            </w:pPr>
            <w:r>
              <w:rPr>
                <w:b w:val="false"/>
                <w:bCs w:val="false"/>
                <w:color w:val="111827"/>
                <w:sz w:val="18"/>
                <w:szCs w:val="18"/>
              </w:rPr>
              <w:t xml:space="preserve">Alarms for ALB error rates/latency, RDS health, per-service ECS task counts, WAF blocks, routed to SNS</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vpc_flow_logs.tf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VPC Flow Logs delivery to S3 in Parquet format</w:t>
            </w:r>
          </w:p>
        </w:tc>
      </w:tr>
      <w:tr>
        <w:tc>
          <w:tcPr>
            <w:tcW w:type="dxa" w:w="2600"/>
            <w:tcMar>
              <w:top w:type="dxa" w:w="70"/>
              <w:left w:type="dxa" w:w="100"/>
              <w:bottom w:type="dxa" w:w="70"/>
              <w:right w:type="dxa" w:w="100"/>
            </w:tcMar>
          </w:tcPr>
          <w:p>
            <w:pPr>
              <w:jc w:val="left"/>
            </w:pPr>
            <w:r>
              <w:rPr>
                <w:b w:val="false"/>
                <w:bCs w:val="false"/>
                <w:color w:val="111827"/>
                <w:sz w:val="18"/>
                <w:szCs w:val="18"/>
              </w:rPr>
              <w:t xml:space="preserve">iam.tf</w:t>
            </w:r>
          </w:p>
        </w:tc>
        <w:tc>
          <w:tcPr>
            <w:tcW w:type="dxa" w:w="6200"/>
            <w:tcMar>
              <w:top w:type="dxa" w:w="70"/>
              <w:left w:type="dxa" w:w="100"/>
              <w:bottom w:type="dxa" w:w="70"/>
              <w:right w:type="dxa" w:w="100"/>
            </w:tcMar>
          </w:tcPr>
          <w:p>
            <w:pPr>
              <w:jc w:val="left"/>
            </w:pPr>
            <w:r>
              <w:rPr>
                <w:b w:val="false"/>
                <w:bCs w:val="false"/>
                <w:color w:val="111827"/>
                <w:sz w:val="18"/>
                <w:szCs w:val="18"/>
              </w:rPr>
              <w:t xml:space="preserve">ECS execution/task roles, GitHub Actions OIDC provider and role</w:t>
            </w:r>
          </w:p>
        </w:tc>
      </w:tr>
      <w:tr>
        <w:tc>
          <w:tcPr>
            <w:tcW w:type="dxa" w:w="2600"/>
            <w:shd w:fill="EEF2F8" w:val="clear"/>
            <w:tcMar>
              <w:top w:type="dxa" w:w="70"/>
              <w:left w:type="dxa" w:w="100"/>
              <w:bottom w:type="dxa" w:w="70"/>
              <w:right w:type="dxa" w:w="100"/>
            </w:tcMar>
          </w:tcPr>
          <w:p>
            <w:pPr>
              <w:jc w:val="left"/>
            </w:pPr>
            <w:r>
              <w:rPr>
                <w:b w:val="false"/>
                <w:bCs w:val="false"/>
                <w:color w:val="111827"/>
                <w:sz w:val="18"/>
                <w:szCs w:val="18"/>
              </w:rPr>
              <w:t xml:space="preserve">main.tf, variables.tf, outputs.tf</w:t>
            </w:r>
          </w:p>
        </w:tc>
        <w:tc>
          <w:tcPr>
            <w:tcW w:type="dxa" w:w="6200"/>
            <w:shd w:fill="EEF2F8" w:val="clear"/>
            <w:tcMar>
              <w:top w:type="dxa" w:w="70"/>
              <w:left w:type="dxa" w:w="100"/>
              <w:bottom w:type="dxa" w:w="70"/>
              <w:right w:type="dxa" w:w="100"/>
            </w:tcMar>
          </w:tcPr>
          <w:p>
            <w:pPr>
              <w:jc w:val="left"/>
            </w:pPr>
            <w:r>
              <w:rPr>
                <w:b w:val="false"/>
                <w:bCs w:val="false"/>
                <w:color w:val="111827"/>
                <w:sz w:val="18"/>
                <w:szCs w:val="18"/>
              </w:rPr>
              <w:t xml:space="preserve">Provider config, input variables, and exported values (ALB DNS name, RDS endpoint, etc.)</w:t>
            </w:r>
          </w:p>
        </w:tc>
      </w:tr>
    </w:tbl>
    <w:p>
      <w:pPr>
        <w:pStyle w:val="Heading2"/>
        <w:spacing w:after="120" w:before="260"/>
      </w:pPr>
      <w:r>
        <w:t xml:space="preserve">5.2 CI/CD pipeline (.github/workflows/deploy.yml)</w:t>
      </w:r>
    </w:p>
    <w:p>
      <w:pPr>
        <w:pStyle w:val="ListParagraph"/>
        <w:numPr>
          <w:ilvl w:val="0"/>
          <w:numId w:val="1"/>
        </w:numPr>
        <w:spacing w:after="60"/>
      </w:pPr>
      <w:r>
        <w:t xml:space="preserve">detect-changes — determines which services' source paths changed in this push via dorny/paths-filter, and checks (via an infra-check step) whether the Terraform-provisioned infrastructure actually exists yet, gracefully skipping all deploy jobs if not.</w:t>
      </w:r>
    </w:p>
    <w:p>
      <w:pPr>
        <w:pStyle w:val="ListParagraph"/>
        <w:numPr>
          <w:ilvl w:val="0"/>
          <w:numId w:val="1"/>
        </w:numPr>
        <w:spacing w:after="60"/>
      </w:pPr>
      <w:r>
        <w:t xml:space="preserve">build-shared-lib — builds and caches shared-lib's Maven artifact so every service job can resolve it from ~/.m2 without rebuilding it five times.</w:t>
      </w:r>
    </w:p>
    <w:p>
      <w:pPr>
        <w:pStyle w:val="ListParagraph"/>
        <w:numPr>
          <w:ilvl w:val="0"/>
          <w:numId w:val="1"/>
        </w:numPr>
        <w:spacing w:after="60"/>
      </w:pPr>
      <w:r>
        <w:t xml:space="preserve">deploy-auth / deploy-inventory / deploy-notification / deploy-reporting / deploy-supplier — one job per backend service, each: runs tests (skipped for notification-service, which has no test sources), stages shared-lib for the Docker build context, authenticates to AWS via OIDC, builds and pushes a git-SHA-tagged image to ECR, fetches the current ECS task definition, swaps in the new image, registers a new task-definition revision, deploys it, and waits for service stability.</w:t>
      </w:r>
    </w:p>
    <w:p>
      <w:pPr>
        <w:pStyle w:val="ListParagraph"/>
        <w:numPr>
          <w:ilvl w:val="0"/>
          <w:numId w:val="1"/>
        </w:numPr>
        <w:spacing w:after="60"/>
      </w:pPr>
      <w:r>
        <w:t xml:space="preserve">Each job only runs when detect-changes flags that service's path as changed (or when workflow_dispatch's deploy_all input is set), keeping unrelated deploys fast and avoiding unnecessary redeploys of unchanged services.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pBdr>
      <w:spacing w:after="160" w:before="320"/>
    </w:pPr>
    <w:rPr>
      <w:b/>
      <w:bCs/>
      <w:color w:val="1F2A44"/>
      <w:sz w:val="30"/>
      <w:szCs w:val="30"/>
    </w:rPr>
  </w:style>
  <w:style w:type="paragraph" w:styleId="Heading2">
    <w:name w:val="Heading 2"/>
    <w:basedOn w:val="Normal"/>
    <w:next w:val="Normal"/>
    <w:qFormat/>
    <w:rPr>
      <w:b/>
      <w:bCs/>
      <w:color w:val="2E5AAC"/>
      <w:sz w:val="25"/>
      <w:szCs w:val="25"/>
    </w:rPr>
  </w:style>
  <w:style w:type="paragraph" w:styleId="Heading3">
    <w:name w:val="Heading 3"/>
    <w:basedOn w:val="Normal"/>
    <w:next w:val="Normal"/>
    <w:qFormat/>
    <w:rPr>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2026-07-24T18:03:50.954Z</dcterms:created>
  <dcterms:modified xsi:type="dcterms:W3CDTF">2026-07-24T18:03:50.955Z</dcterms:modified>
</cp:coreProperties>
</file>

<file path=docProps/custom.xml><?xml version="1.0" encoding="utf-8"?>
<Properties xmlns="http://schemas.openxmlformats.org/officeDocument/2006/custom-properties" xmlns:vt="http://schemas.openxmlformats.org/officeDocument/2006/docPropsVTypes"/>
</file>