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InventoryMS</w:t>
      </w:r>
    </w:p>
    <w:p>
      <w:pPr>
        <w:pStyle w:val="Heading1"/>
        <w:spacing w:after="80"/>
      </w:pPr>
      <w:r>
        <w:t xml:space="preserve">Project Development Lifecycle</w:t>
      </w:r>
    </w:p>
    <w:p>
      <w:pPr>
        <w:spacing w:after="120"/>
      </w:pPr>
      <w:r>
        <w:rPr>
          <w:i/>
          <w:iCs/>
          <w:color w:val="6B7280"/>
        </w:rPr>
        <w:t xml:space="preserve">A phase-by-phase engineering record of the system's development, from initial architecture through AWS deployment, production hardening, and Well-Architected alignment.</w:t>
      </w:r>
    </w:p>
    <w:p>
      <w:pPr>
        <w:spacing w:after="120"/>
      </w:pPr>
      <w:r>
        <w:rPr>
          <w:color w:val="6B7280"/>
          <w:sz w:val="18"/>
          <w:szCs w:val="18"/>
        </w:rPr>
        <w:t xml:space="preserve">Last updated: July 2026</w:t>
      </w:r>
    </w:p>
    <w:p>
      <w:pPr>
        <w:pBdr>
          <w:bottom w:val="single" w:color="D1D5DB" w:sz="6"/>
        </w:pBdr>
        <w:spacing w:after="240"/>
      </w:pPr>
    </w:p>
    <w:p>
      <w:pPr>
        <w:pStyle w:val="Heading1"/>
        <w:spacing w:after="160" w:before="320"/>
      </w:pPr>
      <w:r>
        <w:t xml:space="preserve">Document scope</w:t>
      </w:r>
    </w:p>
    <w:p>
      <w:pPr>
        <w:spacing w:after="120"/>
      </w:pPr>
      <w:r>
        <w:t xml:space="preserve">This document records the project's development in chronological phases. Each phase states its objective, the significant issues addressed during that phase together with root cause and resolution, and the resulting state of the system. It is intended as an engineering history and onboarding reference, not a task log — cosmetic or in-progress work that did not affect the shipped system is omitted.</w:t>
      </w:r>
    </w:p>
    <w:p>
      <w:pPr>
        <w:pStyle w:val="Heading1"/>
        <w:spacing w:after="80" w:before="400"/>
      </w:pPr>
      <w:r>
        <w:t xml:space="preserve">Phase 1 — Architecture Foundations &amp; MVP</w:t>
      </w:r>
    </w:p>
    <w:p>
      <w:pPr>
        <w:spacing w:after="120"/>
      </w:pPr>
      <w:r>
        <w:rPr>
          <w:i/>
          <w:iCs/>
          <w:color w:val="6B7280"/>
          <w:sz w:val="19"/>
          <w:szCs w:val="19"/>
        </w:rPr>
        <w:t xml:space="preserve">Initial build</w:t>
      </w:r>
    </w:p>
    <w:p>
      <w:pPr>
        <w:pStyle w:val="Heading3"/>
        <w:spacing w:after="100" w:before="200"/>
      </w:pPr>
      <w:r>
        <w:t xml:space="preserve">Objective</w:t>
      </w:r>
    </w:p>
    <w:p>
      <w:pPr>
        <w:spacing w:after="120"/>
      </w:pPr>
      <w:r>
        <w:t xml:space="preserve">Establish the core architectural pattern before any feature work: a microservices system with strict Domain-Driven Design layering (domain / application / infrastructure / interfaces), independent per-service JWT validation with no inter-service authentication calls, and a Docker Compose-based local environment.</w:t>
      </w:r>
    </w:p>
    <w:p>
      <w:pPr>
        <w:spacing w:after="120"/>
      </w:pPr>
      <w:r>
        <w:t xml:space="preserve">Deliver a first working slice: auth-service and inventory-service (Spring Boot), a React/Vite frontend, and MySQL, with three roles — ADMIN, WAREHOUSE_MANAGER, STAKEHOLDER.</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MySQL truncation error when adding the STAKEHOLDER role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Hibernate had generated a fixed-width ENUM column for the role field instead of VARCHAR. Resolved by declaring columnDefinition = "varchar(50)" on the field.</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Product activate/deactivate toggle not functioning</w:t>
            </w:r>
          </w:p>
        </w:tc>
        <w:tc>
          <w:tcPr>
            <w:tcW w:type="dxa" w:w="6000"/>
            <w:tcMar>
              <w:top w:type="dxa" w:w="80"/>
              <w:left w:type="dxa" w:w="100"/>
              <w:bottom w:type="dxa" w:w="80"/>
              <w:right w:type="dxa" w:w="100"/>
            </w:tcMar>
          </w:tcPr>
          <w:p>
            <w:pPr>
              <w:jc w:val="left"/>
            </w:pPr>
            <w:r>
              <w:rPr>
                <w:b w:val="false"/>
                <w:bCs w:val="false"/>
                <w:color w:val="111827"/>
                <w:sz w:val="19"/>
                <w:szCs w:val="19"/>
              </w:rPr>
              <w:t xml:space="preserve">The frontend API client referenced the wrong method name against the backend endpoint; corrected the client mapping.</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Sessions bleeding across browser tabs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localStorage is shared across every tab of the same origin. Resolved by moving the access token and user profile to sessionStorage in AuthContext and the API client — the basis of the tab-isolated session model used throughout the system.</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Two-step signup/login needed a dependable local fallback</w:t>
            </w:r>
          </w:p>
        </w:tc>
        <w:tc>
          <w:tcPr>
            <w:tcW w:type="dxa" w:w="6000"/>
            <w:tcMar>
              <w:top w:type="dxa" w:w="80"/>
              <w:left w:type="dxa" w:w="100"/>
              <w:bottom w:type="dxa" w:w="80"/>
              <w:right w:type="dxa" w:w="100"/>
            </w:tcMar>
          </w:tcPr>
          <w:p>
            <w:pPr>
              <w:jc w:val="left"/>
            </w:pPr>
            <w:r>
              <w:rPr>
                <w:b w:val="false"/>
                <w:bCs w:val="false"/>
                <w:color w:val="111827"/>
                <w:sz w:val="19"/>
                <w:szCs w:val="19"/>
              </w:rPr>
              <w:t xml:space="preserve">Implemented OTP delivery with a graceful fallback: OTPs are written to service logs when SMTP is unconfigured, and delivered by email once SMTP credentials are supplied via environment configuration.</w:t>
            </w:r>
          </w:p>
        </w:tc>
      </w:tr>
    </w:tbl>
    <w:p>
      <w:pPr>
        <w:spacing w:after="120"/>
      </w:pPr>
      <w:r>
        <w:t xml:space="preserve"/>
      </w:r>
    </w:p>
    <w:p>
      <w:pPr>
        <w:pStyle w:val="Heading3"/>
        <w:spacing w:after="100" w:before="200"/>
      </w:pPr>
      <w:r>
        <w:t xml:space="preserve">Outcome</w:t>
      </w:r>
    </w:p>
    <w:p>
      <w:pPr>
        <w:spacing w:after="120"/>
      </w:pPr>
      <w:r>
        <w:t xml:space="preserve">Produced the working two-service baseline and the two decisions carried through the rest of the project: sessionStorage-based tab isolation, and DDD layering enforced from the first commit.</w:t>
      </w:r>
    </w:p>
    <w:p>
      <w:pPr>
        <w:pStyle w:val="Heading1"/>
        <w:spacing w:after="80" w:before="400"/>
      </w:pPr>
      <w:r>
        <w:t xml:space="preserve">Phase 2 — AWS Migration (v2.0)</w:t>
      </w:r>
    </w:p>
    <w:p>
      <w:pPr>
        <w:spacing w:after="120"/>
      </w:pPr>
      <w:r>
        <w:rPr>
          <w:i/>
          <w:iCs/>
          <w:color w:val="6B7280"/>
          <w:sz w:val="19"/>
          <w:szCs w:val="19"/>
        </w:rPr>
        <w:t xml:space="preserve">Early expansion</w:t>
      </w:r>
    </w:p>
    <w:p>
      <w:pPr>
        <w:pStyle w:val="Heading3"/>
        <w:spacing w:after="100" w:before="200"/>
      </w:pPr>
      <w:r>
        <w:t xml:space="preserve">Objective</w:t>
      </w:r>
    </w:p>
    <w:p>
      <w:pPr>
        <w:spacing w:after="120"/>
      </w:pPr>
      <w:r>
        <w:t xml:space="preserve">Expand from two services to the full five-service system (auth, inventory, notification, reporting, supplier), introduce the Module Federation frontend (shell + 5 remotes), and move the system from local Docker Compose onto AWS — ECS, RDS, S3, and GitHub Actions CI/CD.</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Infrastructure teardown (terraform destroy) failing</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ECR repositories required force_delete = true and RDS required deletion_protection = false for the development environment; unreliable local-exec provisioners were replaced with a dedicated teardown script.</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Fargate networking constraints under load</w:t>
            </w:r>
          </w:p>
        </w:tc>
        <w:tc>
          <w:tcPr>
            <w:tcW w:type="dxa" w:w="6000"/>
            <w:tcMar>
              <w:top w:type="dxa" w:w="80"/>
              <w:left w:type="dxa" w:w="100"/>
              <w:bottom w:type="dxa" w:w="80"/>
              <w:right w:type="dxa" w:w="100"/>
            </w:tcMar>
          </w:tcPr>
          <w:p>
            <w:pPr>
              <w:jc w:val="left"/>
            </w:pPr>
            <w:r>
              <w:rPr>
                <w:b w:val="false"/>
                <w:bCs w:val="false"/>
                <w:color w:val="111827"/>
                <w:sz w:val="19"/>
                <w:szCs w:val="19"/>
              </w:rPr>
              <w:t xml:space="preserve">Migrated ECS from the Fargate launch type to EC2 with Auto Scaling, avoiding Fargate's per-task ENI limits.</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Long-lived AWS credentials stored in GitHub</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Replaced stored AWS keys with GitHub Actions OIDC authentication.</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Unreliable self-hosted CI runner</w:t>
            </w:r>
          </w:p>
        </w:tc>
        <w:tc>
          <w:tcPr>
            <w:tcW w:type="dxa" w:w="6000"/>
            <w:tcMar>
              <w:top w:type="dxa" w:w="80"/>
              <w:left w:type="dxa" w:w="100"/>
              <w:bottom w:type="dxa" w:w="80"/>
              <w:right w:type="dxa" w:w="100"/>
            </w:tcMar>
          </w:tcPr>
          <w:p>
            <w:pPr>
              <w:jc w:val="left"/>
            </w:pPr>
            <w:r>
              <w:rPr>
                <w:b w:val="false"/>
                <w:bCs w:val="false"/>
                <w:color w:val="111827"/>
                <w:sz w:val="19"/>
                <w:szCs w:val="19"/>
              </w:rPr>
              <w:t xml:space="preserve">Migrated the CI/CD runner to GitHub-hosted ubuntu-latest runners.</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Recurring CI/CD build failures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Resolved in sequence: Java 21 toolchain setup, a Maven-artifact staging pattern for the Docker build context, the parent POM install step, missing dependencies in inventory-service's POM, a frontend file-extension correction, and environment-variable handling in Vite configuration.</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503 errors in production</w:t>
            </w:r>
          </w:p>
        </w:tc>
        <w:tc>
          <w:tcPr>
            <w:tcW w:type="dxa" w:w="6000"/>
            <w:tcMar>
              <w:top w:type="dxa" w:w="80"/>
              <w:left w:type="dxa" w:w="100"/>
              <w:bottom w:type="dxa" w:w="80"/>
              <w:right w:type="dxa" w:w="100"/>
            </w:tcMar>
          </w:tcPr>
          <w:p>
            <w:pPr>
              <w:jc w:val="left"/>
            </w:pPr>
            <w:r>
              <w:rPr>
                <w:b w:val="false"/>
                <w:bCs w:val="false"/>
                <w:color w:val="111827"/>
                <w:sz w:val="19"/>
                <w:szCs w:val="19"/>
              </w:rPr>
              <w:t xml:space="preserve">Traced to nginx routing rules pointing at non-existent hostnames, and separately to ENI exhaustion once instance desired-count was increased.</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Module Federation remote entry resolving to a local development URL in production</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Resolved by building every micro-frontend with a versioned base path and bundling all remotes into a single nginx image rather than running them as separate runtime containers.</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Manual deployment trigger missing from the CI/CD pipeline</w:t>
            </w:r>
          </w:p>
        </w:tc>
        <w:tc>
          <w:tcPr>
            <w:tcW w:type="dxa" w:w="6000"/>
            <w:tcMar>
              <w:top w:type="dxa" w:w="80"/>
              <w:left w:type="dxa" w:w="100"/>
              <w:bottom w:type="dxa" w:w="80"/>
              <w:right w:type="dxa" w:w="100"/>
            </w:tcMar>
          </w:tcPr>
          <w:p>
            <w:pPr>
              <w:jc w:val="left"/>
            </w:pPr>
            <w:r>
              <w:rPr>
                <w:b w:val="false"/>
                <w:bCs w:val="false"/>
                <w:color w:val="111827"/>
                <w:sz w:val="19"/>
                <w:szCs w:val="19"/>
              </w:rPr>
              <w:t xml:space="preserve">Root cause: inline YAML mapping syntax in the workflow's with: block breaks GitHub Actions' parser for workflow_dispatch. Resolution: use multi-line with: blocks throughout the workflow file.</w:t>
            </w:r>
          </w:p>
        </w:tc>
      </w:tr>
    </w:tbl>
    <w:p>
      <w:pPr>
        <w:spacing w:after="120"/>
      </w:pPr>
      <w:r>
        <w:t xml:space="preserve"/>
      </w:r>
    </w:p>
    <w:p>
      <w:pPr>
        <w:pStyle w:val="Heading3"/>
        <w:spacing w:after="100" w:before="200"/>
      </w:pPr>
      <w:r>
        <w:t xml:space="preserve">Outcome</w:t>
      </w:r>
    </w:p>
    <w:p>
      <w:pPr>
        <w:spacing w:after="120"/>
      </w:pPr>
      <w:r>
        <w:t xml:space="preserve">Established the production AWS deployment shape retained through the rest of the project, and surfaced the two recurring failure classes addressed repeatedly afterward: CI/CD YAML syntax pitfalls and ENI-driven capacity limits.</w:t>
      </w:r>
    </w:p>
    <w:p>
      <w:pPr>
        <w:pStyle w:val="Heading1"/>
        <w:spacing w:after="80" w:before="400"/>
      </w:pPr>
      <w:r>
        <w:t xml:space="preserve">Phase 3 — Frontend Federation &amp; Authentication Hardening</w:t>
      </w:r>
    </w:p>
    <w:p>
      <w:pPr>
        <w:spacing w:after="120"/>
      </w:pPr>
      <w:r>
        <w:rPr>
          <w:i/>
          <w:iCs/>
          <w:color w:val="6B7280"/>
          <w:sz w:val="19"/>
          <w:szCs w:val="19"/>
        </w:rPr>
        <w:t xml:space="preserve">Mid-stage hardening</w:t>
      </w:r>
    </w:p>
    <w:p>
      <w:pPr>
        <w:pStyle w:val="Heading3"/>
        <w:spacing w:after="100" w:before="200"/>
      </w:pPr>
      <w:r>
        <w:t xml:space="preserve">Objective</w:t>
      </w:r>
    </w:p>
    <w:p>
      <w:pPr>
        <w:spacing w:after="120"/>
      </w:pPr>
      <w:r>
        <w:t xml:space="preserve">Stabilize Module Federation loading in production, close role-based access control gaps across services, and move authentication to its final tab-isolated hybrid model.</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CI build missing devDependencies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Production install mode was skipping devDependencies required by the Vite build; adjusted the CI install step accordingly.</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Micro-frontend build breaking on dependency drift</w:t>
            </w:r>
          </w:p>
        </w:tc>
        <w:tc>
          <w:tcPr>
            <w:tcW w:type="dxa" w:w="6000"/>
            <w:tcMar>
              <w:top w:type="dxa" w:w="80"/>
              <w:left w:type="dxa" w:w="100"/>
              <w:bottom w:type="dxa" w:w="80"/>
              <w:right w:type="dxa" w:w="100"/>
            </w:tcMar>
          </w:tcPr>
          <w:p>
            <w:pPr>
              <w:jc w:val="left"/>
            </w:pPr>
            <w:r>
              <w:rPr>
                <w:b w:val="false"/>
                <w:bCs w:val="false"/>
                <w:color w:val="111827"/>
                <w:sz w:val="19"/>
                <w:szCs w:val="19"/>
              </w:rPr>
              <w:t xml:space="preserve">Missing lockfiles allowed an incompatible Module Federation plugin version to install; lockfiles were committed to pin versions.</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TypeScript type-generation step failing on a pure JSX project</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Disabled the federation plugin's dts generation, which does not apply to this codebase.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Remote entry script failing to load, across several root causes</w:t>
            </w:r>
          </w:p>
        </w:tc>
        <w:tc>
          <w:tcPr>
            <w:tcW w:type="dxa" w:w="6000"/>
            <w:tcMar>
              <w:top w:type="dxa" w:w="80"/>
              <w:left w:type="dxa" w:w="100"/>
              <w:bottom w:type="dxa" w:w="80"/>
              <w:right w:type="dxa" w:w="100"/>
            </w:tcMar>
          </w:tcPr>
          <w:p>
            <w:pPr>
              <w:jc w:val="left"/>
            </w:pPr>
            <w:r>
              <w:rPr>
                <w:b w:val="false"/>
                <w:bCs w:val="false"/>
                <w:color w:val="111827"/>
                <w:sz w:val="19"/>
                <w:szCs w:val="19"/>
              </w:rPr>
              <w:t xml:space="preserve">Resolved in sequence: nginx alias/try_files path duplication, an incorrect asset-path suffix, the remote entry script being requested as a classic script rather than the ES module it is built as, and a build-target regression that broke top-level-await support.</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Authentication model finalized</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Migrated to the tab-isolated hybrid retained today: access tokens in sessionStorage sent via Authorization: Bearer, refresh tokens in HttpOnly cookies with rotation.</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Missing authorization checks on write endpoints</w:t>
            </w:r>
          </w:p>
        </w:tc>
        <w:tc>
          <w:tcPr>
            <w:tcW w:type="dxa" w:w="6000"/>
            <w:tcMar>
              <w:top w:type="dxa" w:w="80"/>
              <w:left w:type="dxa" w:w="100"/>
              <w:bottom w:type="dxa" w:w="80"/>
              <w:right w:type="dxa" w:w="100"/>
            </w:tcMar>
          </w:tcPr>
          <w:p>
            <w:pPr>
              <w:jc w:val="left"/>
            </w:pPr>
            <w:r>
              <w:rPr>
                <w:b w:val="false"/>
                <w:bCs w:val="false"/>
                <w:color w:val="111827"/>
                <w:sz w:val="19"/>
                <w:szCs w:val="19"/>
              </w:rPr>
              <w:t xml:space="preserve">Added method-level access control across inventory-service, and a complete security configuration for supplier-service, which previously had none.</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Role-derived UI state not reflecting the logged-in user inside micro-frontends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Root cause: Module Federation does not share React Context across remote boundaries, so a shell-level AuthProvider and a remote's own context are distinct instances at runtime. Resolution: introduced a wrapper pattern (*Federated.jsx) that re-supplies each remote's own AuthProvider — used by every federated page in the system.</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UI token rename breaking existing components</w:t>
            </w:r>
          </w:p>
        </w:tc>
        <w:tc>
          <w:tcPr>
            <w:tcW w:type="dxa" w:w="6000"/>
            <w:tcMar>
              <w:top w:type="dxa" w:w="80"/>
              <w:left w:type="dxa" w:w="100"/>
              <w:bottom w:type="dxa" w:w="80"/>
              <w:right w:type="dxa" w:w="100"/>
            </w:tcMar>
          </w:tcPr>
          <w:p>
            <w:pPr>
              <w:jc w:val="left"/>
            </w:pPr>
            <w:r>
              <w:rPr>
                <w:b w:val="false"/>
                <w:bCs w:val="false"/>
                <w:color w:val="111827"/>
                <w:sz w:val="19"/>
                <w:szCs w:val="19"/>
              </w:rPr>
              <w:t xml:space="preserve">A design-token update removed legacy CSS variable names still referenced throughout the app; added compatibility aliases for the transition.</w:t>
            </w:r>
          </w:p>
        </w:tc>
      </w:tr>
    </w:tbl>
    <w:p>
      <w:pPr>
        <w:spacing w:after="120"/>
      </w:pPr>
      <w:r>
        <w:t xml:space="preserve"/>
      </w:r>
    </w:p>
    <w:p>
      <w:pPr>
        <w:pStyle w:val="Heading3"/>
        <w:spacing w:after="100" w:before="200"/>
      </w:pPr>
      <w:r>
        <w:t xml:space="preserve">Outcome</w:t>
      </w:r>
    </w:p>
    <w:p>
      <w:pPr>
        <w:spacing w:after="120"/>
      </w:pPr>
      <w:r>
        <w:t xml:space="preserve">Established the *Federated.jsx wrapper pattern and the tab-isolated hybrid authentication model exactly as they exist in the current system.</w:t>
      </w:r>
    </w:p>
    <w:p>
      <w:pPr>
        <w:pStyle w:val="Heading1"/>
        <w:spacing w:after="80" w:before="400"/>
      </w:pPr>
      <w:r>
        <w:t xml:space="preserve">Phase 4 — Documentation Baseline</w:t>
      </w:r>
    </w:p>
    <w:p>
      <w:pPr>
        <w:spacing w:after="120"/>
      </w:pPr>
      <w:r>
        <w:rPr>
          <w:i/>
          <w:iCs/>
          <w:color w:val="6B7280"/>
          <w:sz w:val="19"/>
          <w:szCs w:val="19"/>
        </w:rPr>
        <w:t xml:space="preserve">Mid-project checkpoint</w:t>
      </w:r>
    </w:p>
    <w:p>
      <w:pPr>
        <w:pStyle w:val="Heading3"/>
        <w:spacing w:after="100" w:before="200"/>
      </w:pPr>
      <w:r>
        <w:t xml:space="preserve">Objective</w:t>
      </w:r>
    </w:p>
    <w:p>
      <w:pPr>
        <w:spacing w:after="120"/>
      </w:pPr>
      <w:r>
        <w:t xml:space="preserve">Produce a first formal documentation set — a development history and a codebase/architecture reference — and reconcile it against the deployed codebase rather than assumed state.</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Unconfirmed prior fixes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Cross-checked several previously reported fixes (storage-provider migration, nginx path configuration, the *Federated.jsx wrapper coverage, authentication entry-point status codes, build/test configuration, OIDC wiring, instance sizing) directly against the codebase rather than relying on earlier notes.</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Favicon asset missing</w:t>
            </w:r>
          </w:p>
        </w:tc>
        <w:tc>
          <w:tcPr>
            <w:tcW w:type="dxa" w:w="6000"/>
            <w:tcMar>
              <w:top w:type="dxa" w:w="80"/>
              <w:left w:type="dxa" w:w="100"/>
              <w:bottom w:type="dxa" w:w="80"/>
              <w:right w:type="dxa" w:w="100"/>
            </w:tcMar>
          </w:tcPr>
          <w:p>
            <w:pPr>
              <w:jc w:val="left"/>
            </w:pPr>
            <w:r>
              <w:rPr>
                <w:b w:val="false"/>
                <w:bCs w:val="false"/>
                <w:color w:val="111827"/>
                <w:sz w:val="19"/>
                <w:szCs w:val="19"/>
              </w:rPr>
              <w:t xml:space="preserve">Confirmed frontend/shell/public/favicon.svg was absent from the deployed frontend, despite being noted elsewhere as resolved — logged as an open item for the next iteration.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Shared library not actually adopted</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Confirmed shared-lib's utility and exception classes were declared as a Maven dependency by every service but not imported by any of them — a build-order dependency only, not a functional one.</w:t>
            </w:r>
          </w:p>
        </w:tc>
      </w:tr>
    </w:tbl>
    <w:p>
      <w:pPr>
        <w:spacing w:after="120"/>
      </w:pPr>
      <w:r>
        <w:t xml:space="preserve"/>
      </w:r>
    </w:p>
    <w:p>
      <w:pPr>
        <w:pStyle w:val="Heading3"/>
        <w:spacing w:after="100" w:before="200"/>
      </w:pPr>
      <w:r>
        <w:t xml:space="preserve">Outcome</w:t>
      </w:r>
    </w:p>
    <w:p>
      <w:pPr>
        <w:spacing w:after="120"/>
      </w:pPr>
      <w:r>
        <w:t xml:space="preserve">Established the practice, followed for the remainder of the project, of verifying the current codebase directly before treating any prior fix as complete. Both gaps identified here — the missing favicon and the unused shared library — were closed in later phases.</w:t>
      </w:r>
    </w:p>
    <w:p>
      <w:pPr>
        <w:pStyle w:val="Heading1"/>
        <w:spacing w:after="80" w:before="400"/>
      </w:pPr>
      <w:r>
        <w:t xml:space="preserve">Phase 5 — Production Incident Resolution</w:t>
      </w:r>
    </w:p>
    <w:p>
      <w:pPr>
        <w:spacing w:after="120"/>
      </w:pPr>
      <w:r>
        <w:rPr>
          <w:i/>
          <w:iCs/>
          <w:color w:val="6B7280"/>
          <w:sz w:val="19"/>
          <w:szCs w:val="19"/>
        </w:rPr>
        <w:t xml:space="preserve">Stabilization</w:t>
      </w:r>
    </w:p>
    <w:p>
      <w:pPr>
        <w:pStyle w:val="Heading3"/>
        <w:spacing w:after="100" w:before="200"/>
      </w:pPr>
      <w:r>
        <w:t xml:space="preserve">Objective</w:t>
      </w:r>
    </w:p>
    <w:p>
      <w:pPr>
        <w:spacing w:after="120"/>
      </w:pPr>
      <w:r>
        <w:t xml:space="preserve">Resolve a cluster of production failures affecting dashboard and module loading, trace a chain of interrelated authentication and networking defects to their root causes, and consolidate infrastructure that had grown ad hoc during earlier phases.</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inventory-service failing at startup</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The object-storage client rejected empty AWS credentials in production. Rewritten to use the AWS SDK's default credential provider chain so it resolves the ECS task's IAM role automatically.</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Health checks failing for auth-service</w:t>
            </w:r>
          </w:p>
        </w:tc>
        <w:tc>
          <w:tcPr>
            <w:tcW w:type="dxa" w:w="6000"/>
            <w:tcMar>
              <w:top w:type="dxa" w:w="80"/>
              <w:left w:type="dxa" w:w="100"/>
              <w:bottom w:type="dxa" w:w="80"/>
              <w:right w:type="dxa" w:w="100"/>
            </w:tcMar>
          </w:tcPr>
          <w:p>
            <w:pPr>
              <w:jc w:val="left"/>
            </w:pPr>
            <w:r>
              <w:rPr>
                <w:b w:val="false"/>
                <w:bCs w:val="false"/>
                <w:color w:val="111827"/>
                <w:sz w:val="19"/>
                <w:szCs w:val="19"/>
              </w:rPr>
              <w:t xml:space="preserve">The load balancer's health-check path had been changed without adding it to the security configuration's permitted-endpoints list.</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Stock page crashing on load for every role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 micro-frontend's auth context was initialized with a null default instead of a safe default object, causing any consumer rendered before the provider mounted to throw.</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Target group reporting no healthy instances for one service</w:t>
            </w:r>
          </w:p>
        </w:tc>
        <w:tc>
          <w:tcPr>
            <w:tcW w:type="dxa" w:w="6000"/>
            <w:tcMar>
              <w:top w:type="dxa" w:w="80"/>
              <w:left w:type="dxa" w:w="100"/>
              <w:bottom w:type="dxa" w:w="80"/>
              <w:right w:type="dxa" w:w="100"/>
            </w:tcMar>
          </w:tcPr>
          <w:p>
            <w:pPr>
              <w:jc w:val="left"/>
            </w:pPr>
            <w:r>
              <w:rPr>
                <w:b w:val="false"/>
                <w:bCs w:val="false"/>
                <w:color w:val="111827"/>
                <w:sz w:val="19"/>
                <w:szCs w:val="19"/>
              </w:rPr>
              <w:t xml:space="preserve">Diagnosed as ENI exhaustion: with awsvpc networking, available ENIs per instance capped the number of schedulable tasks below the number required. Resolved short-term by increasing desired instance count.</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Authentication returning 403 instead of 401 for unauthenticated requests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Root cause: no explicit authentication entry point was configured, so Spring Security's default 403 response was returned instead of 401 — and the frontend's token-refresh logic only triggers on 401.</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Users logged out immediately after login</w:t>
            </w:r>
          </w:p>
        </w:tc>
        <w:tc>
          <w:tcPr>
            <w:tcW w:type="dxa" w:w="6000"/>
            <w:tcMar>
              <w:top w:type="dxa" w:w="80"/>
              <w:left w:type="dxa" w:w="100"/>
              <w:bottom w:type="dxa" w:w="80"/>
              <w:right w:type="dxa" w:w="100"/>
            </w:tcMar>
          </w:tcPr>
          <w:p>
            <w:pPr>
              <w:jc w:val="left"/>
            </w:pPr>
            <w:r>
              <w:rPr>
                <w:b w:val="false"/>
                <w:bCs w:val="false"/>
                <w:color w:val="111827"/>
                <w:sz w:val="19"/>
                <w:szCs w:val="19"/>
              </w:rPr>
              <w:t xml:space="preserve">A secondary defect exposed once the 403/401 issue was fixed: the refresh-token cookie was marked Secure while the load balancer was HTTP-only, so the browser withheld it from every request. Corrected the cookie flag to match the listener's protocol.</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Build failure from a corrupted configuration file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An automated file edit had overwritten inventory-service's security configuration with auth-service's version (wrong package, wrong filter import); restored the correct file.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Test execution hanging indefinitely in CI</w:t>
            </w:r>
          </w:p>
        </w:tc>
        <w:tc>
          <w:tcPr>
            <w:tcW w:type="dxa" w:w="6000"/>
            <w:tcMar>
              <w:top w:type="dxa" w:w="80"/>
              <w:left w:type="dxa" w:w="100"/>
              <w:bottom w:type="dxa" w:w="80"/>
              <w:right w:type="dxa" w:w="100"/>
            </w:tcMar>
          </w:tcPr>
          <w:p>
            <w:pPr>
              <w:jc w:val="left"/>
            </w:pPr>
            <w:r>
              <w:rPr>
                <w:b w:val="false"/>
                <w:bCs w:val="false"/>
                <w:color w:val="111827"/>
                <w:sz w:val="19"/>
                <w:szCs w:val="19"/>
              </w:rPr>
              <w:t xml:space="preserve">Three services had no JUnit platform provider on the test classpath, causing the Surefire plugin to hang rather than fail fast. Added the test starter dependency and explicit Surefire configuration.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Favicon asset still missing (carried from the documentation checkpoint)</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Added the missing asset and corrected a caching rule that had been applying immutable cache headers to the unhashed favicon filename.</w:t>
            </w:r>
          </w:p>
        </w:tc>
      </w:tr>
    </w:tbl>
    <w:p>
      <w:pPr>
        <w:spacing w:after="120"/>
      </w:pPr>
      <w:r>
        <w:t xml:space="preserve"/>
      </w:r>
    </w:p>
    <w:p>
      <w:pPr>
        <w:pStyle w:val="Heading3"/>
        <w:spacing w:after="100" w:before="200"/>
      </w:pPr>
      <w:r>
        <w:t xml:space="preserve">Outcome</w:t>
      </w:r>
    </w:p>
    <w:p>
      <w:pPr>
        <w:spacing w:after="120"/>
      </w:pPr>
      <w:r>
        <w:t xml:space="preserve">Closed the favicon gap identified during the documentation checkpoint and resolved the project's most significant cascading defect chain to date. The phase concluded with an infrastructure consolidation pass: reducing NAT gateway count, consolidating four per-service database instances into one shared instance, wiring secret values into ECS task definitions instead of plaintext environment variables, narrowing security group rules to the ports actually in use, and restricting object-storage CORS to the load balancer's own domain.</w:t>
      </w:r>
    </w:p>
    <w:p>
      <w:pPr>
        <w:pStyle w:val="Heading1"/>
        <w:spacing w:after="80" w:before="400"/>
      </w:pPr>
      <w:r>
        <w:t xml:space="preserve">Phase 6 — Well-Architected Alignment</w:t>
      </w:r>
    </w:p>
    <w:p>
      <w:pPr>
        <w:spacing w:after="120"/>
      </w:pPr>
      <w:r>
        <w:rPr>
          <w:i/>
          <w:iCs/>
          <w:color w:val="6B7280"/>
          <w:sz w:val="19"/>
          <w:szCs w:val="19"/>
        </w:rPr>
        <w:t xml:space="preserve">Infrastructure maturity</w:t>
      </w:r>
    </w:p>
    <w:p>
      <w:pPr>
        <w:pStyle w:val="Heading3"/>
        <w:spacing w:after="100" w:before="200"/>
      </w:pPr>
      <w:r>
        <w:t xml:space="preserve">Objective</w:t>
      </w:r>
    </w:p>
    <w:p>
      <w:pPr>
        <w:spacing w:after="120"/>
      </w:pPr>
      <w:r>
        <w:t xml:space="preserve">Review the deployed system against the AWS Well-Architected Framework's six pillars and implement the resulting recommendations; separately, replace the single shared JWT secret with a purpose-scoped, three-secret model.</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Single-instance services with no capacity alarms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Raised three services to two-instance deployments with rolling-update configuration, and added task-count alarms for every previously unmonitored service.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No managed protection against common web exploits</w:t>
            </w:r>
          </w:p>
        </w:tc>
        <w:tc>
          <w:tcPr>
            <w:tcW w:type="dxa" w:w="6000"/>
            <w:tcMar>
              <w:top w:type="dxa" w:w="80"/>
              <w:left w:type="dxa" w:w="100"/>
              <w:bottom w:type="dxa" w:w="80"/>
              <w:right w:type="dxa" w:w="100"/>
            </w:tcMar>
          </w:tcPr>
          <w:p>
            <w:pPr>
              <w:jc w:val="left"/>
            </w:pPr>
            <w:r>
              <w:rPr>
                <w:b w:val="false"/>
                <w:bCs w:val="false"/>
                <w:color w:val="111827"/>
                <w:sz w:val="19"/>
                <w:szCs w:val="19"/>
              </w:rPr>
              <w:t xml:space="preserve">Added AWS-managed WAF rule groups (common exploits, SQL injection, known bad inputs) alongside the existing authentication rate-limit rule.</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No path to HTTPS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Added conditional ACM certificate and DNS provisioning, active only when a domain name is supplied, keeping the default deployment cost-free.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Reporting queries competing with transactional load</w:t>
            </w:r>
          </w:p>
        </w:tc>
        <w:tc>
          <w:tcPr>
            <w:tcW w:type="dxa" w:w="6000"/>
            <w:tcMar>
              <w:top w:type="dxa" w:w="80"/>
              <w:left w:type="dxa" w:w="100"/>
              <w:bottom w:type="dxa" w:w="80"/>
              <w:right w:type="dxa" w:w="100"/>
            </w:tcMar>
          </w:tcPr>
          <w:p>
            <w:pPr>
              <w:jc w:val="left"/>
            </w:pPr>
            <w:r>
              <w:rPr>
                <w:b w:val="false"/>
                <w:bCs w:val="false"/>
                <w:color w:val="111827"/>
                <w:sz w:val="19"/>
                <w:szCs w:val="19"/>
              </w:rPr>
              <w:t xml:space="preserve">Added a dedicated read replica for the reporting service's database connection.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Uniform compute allocation regardless of service load</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Replaced flat per-service CPU/memory allocation with sizing based on actual service load.</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No documented recovery process</w:t>
            </w:r>
          </w:p>
        </w:tc>
        <w:tc>
          <w:tcPr>
            <w:tcW w:type="dxa" w:w="6000"/>
            <w:tcMar>
              <w:top w:type="dxa" w:w="80"/>
              <w:left w:type="dxa" w:w="100"/>
              <w:bottom w:type="dxa" w:w="80"/>
              <w:right w:type="dxa" w:w="100"/>
            </w:tcMar>
          </w:tcPr>
          <w:p>
            <w:pPr>
              <w:jc w:val="left"/>
            </w:pPr>
            <w:r>
              <w:rPr>
                <w:b w:val="false"/>
                <w:bCs w:val="false"/>
                <w:color w:val="111827"/>
                <w:sz w:val="19"/>
                <w:szCs w:val="19"/>
              </w:rPr>
              <w:t xml:space="preserve">Authored a rollback procedure for infrastructure and application deployments.</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Capacity shortfall from the above changes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Increased the EC2 fleet size to accommodate the resulting increase in concurrently scheduled tasks.</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Single combined JWT secret across all token purposes</w:t>
            </w:r>
          </w:p>
        </w:tc>
        <w:tc>
          <w:tcPr>
            <w:tcW w:type="dxa" w:w="6000"/>
            <w:tcMar>
              <w:top w:type="dxa" w:w="80"/>
              <w:left w:type="dxa" w:w="100"/>
              <w:bottom w:type="dxa" w:w="80"/>
              <w:right w:type="dxa" w:w="100"/>
            </w:tcMar>
          </w:tcPr>
          <w:p>
            <w:pPr>
              <w:jc w:val="left"/>
            </w:pPr>
            <w:r>
              <w:rPr>
                <w:b w:val="false"/>
                <w:bCs w:val="false"/>
                <w:color w:val="111827"/>
                <w:sz w:val="19"/>
                <w:szCs w:val="19"/>
              </w:rPr>
              <w:t xml:space="preserve">Replaced with three independently-scoped secrets (session, access, refresh), each bound to its own signing key and a token-type claim checked at validation time. Refresh tokens were converted from opaque identifiers to signed tokens carrying a trackable identifier, with rotation and reuse detection: replay of an already-rotated token revokes every session for that user.</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Combined-secret storage overhead</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Migrated secret storage from a single combined store entry to individually scoped parameters, with corresponding access-policy updates and task-definition references.</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CI/CD authentication failing intermittently</w:t>
            </w:r>
          </w:p>
        </w:tc>
        <w:tc>
          <w:tcPr>
            <w:tcW w:type="dxa" w:w="6000"/>
            <w:tcMar>
              <w:top w:type="dxa" w:w="80"/>
              <w:left w:type="dxa" w:w="100"/>
              <w:bottom w:type="dxa" w:w="80"/>
              <w:right w:type="dxa" w:w="100"/>
            </w:tcMar>
          </w:tcPr>
          <w:p>
            <w:pPr>
              <w:jc w:val="left"/>
            </w:pPr>
            <w:r>
              <w:rPr>
                <w:b w:val="false"/>
                <w:bCs w:val="false"/>
                <w:color w:val="111827"/>
                <w:sz w:val="19"/>
                <w:szCs w:val="19"/>
              </w:rPr>
              <w:t xml:space="preserve">Root cause: the federated identity provider and its associated role existed in a different AWS account than the one referenced in the deployment workflow. Corrected the account reference in the workflow configuration.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Incomplete infrastructure-as-code migration</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 prior change had removed the old identity-provider configuration file without merging its resources into the replacement file, which would have caused the next infrastructure apply to delete the provider and role in use. Corrected before it reached production.</w:t>
            </w:r>
          </w:p>
        </w:tc>
      </w:tr>
    </w:tbl>
    <w:p>
      <w:pPr>
        <w:spacing w:after="120"/>
      </w:pPr>
      <w:r>
        <w:t xml:space="preserve"/>
      </w:r>
    </w:p>
    <w:p>
      <w:pPr>
        <w:pStyle w:val="Heading3"/>
        <w:spacing w:after="100" w:before="200"/>
      </w:pPr>
      <w:r>
        <w:t xml:space="preserve">Outcome</w:t>
      </w:r>
    </w:p>
    <w:p>
      <w:pPr>
        <w:spacing w:after="120"/>
      </w:pPr>
      <w:r>
        <w:t xml:space="preserve">Brought the deployed infrastructure into alignment with all six Well-Architected pillars and established the three-secret JWT model and per-parameter secret storage used today.</w:t>
      </w:r>
    </w:p>
    <w:p>
      <w:pPr>
        <w:pStyle w:val="Heading1"/>
        <w:spacing w:after="80" w:before="400"/>
      </w:pPr>
      <w:r>
        <w:t xml:space="preserve">Phase 7 — Governance, Reporting &amp; Infrastructure Consolidation</w:t>
      </w:r>
    </w:p>
    <w:p>
      <w:pPr>
        <w:spacing w:after="120"/>
      </w:pPr>
      <w:r>
        <w:rPr>
          <w:i/>
          <w:iCs/>
          <w:color w:val="6B7280"/>
          <w:sz w:val="19"/>
          <w:szCs w:val="19"/>
        </w:rPr>
        <w:t xml:space="preserve">Feature and reliability hardening</w:t>
      </w:r>
    </w:p>
    <w:p>
      <w:pPr>
        <w:pStyle w:val="Heading3"/>
        <w:spacing w:after="100" w:before="200"/>
      </w:pPr>
      <w:r>
        <w:t xml:space="preserve">Objective</w:t>
      </w:r>
    </w:p>
    <w:p>
      <w:pPr>
        <w:spacing w:after="120"/>
      </w:pPr>
      <w:r>
        <w:t xml:space="preserve">Add account-governance controls and report retention, run a structured gap analysis of the codebase, consolidate duplicated authentication logic into the shared library, and complete a broad infrastructure-hardening pass — while treating pipeline stability as a non-negotiable constraint throughout.</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Manual deployment trigger missing (recurrence)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Orphaned configuration at the top of the workflow file was again disabling the trigger; corrected.</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No limit on administrator account creation</w:t>
            </w:r>
          </w:p>
        </w:tc>
        <w:tc>
          <w:tcPr>
            <w:tcW w:type="dxa" w:w="6000"/>
            <w:tcMar>
              <w:top w:type="dxa" w:w="80"/>
              <w:left w:type="dxa" w:w="100"/>
              <w:bottom w:type="dxa" w:w="80"/>
              <w:right w:type="dxa" w:w="100"/>
            </w:tcMar>
          </w:tcPr>
          <w:p>
            <w:pPr>
              <w:jc w:val="left"/>
            </w:pPr>
            <w:r>
              <w:rPr>
                <w:b w:val="false"/>
                <w:bCs w:val="false"/>
                <w:color w:val="111827"/>
                <w:sz w:val="19"/>
                <w:szCs w:val="19"/>
              </w:rPr>
              <w:t xml:space="preserve">Implemented the bootstrap model used today: the first administrator account may self-register through public signup; every subsequent administrator account must be created by an existing administrator.</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Generated reports not retained</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Added object-storage archival for generated reports, organized by originating service.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Gap analysis</w:t>
            </w:r>
          </w:p>
        </w:tc>
        <w:tc>
          <w:tcPr>
            <w:tcW w:type="dxa" w:w="6000"/>
            <w:tcMar>
              <w:top w:type="dxa" w:w="80"/>
              <w:left w:type="dxa" w:w="100"/>
              <w:bottom w:type="dxa" w:w="80"/>
              <w:right w:type="dxa" w:w="100"/>
            </w:tcMar>
          </w:tcPr>
          <w:p>
            <w:pPr>
              <w:jc w:val="left"/>
            </w:pPr>
            <w:r>
              <w:rPr>
                <w:b w:val="false"/>
                <w:bCs w:val="false"/>
                <w:color w:val="111827"/>
                <w:sz w:val="19"/>
                <w:szCs w:val="19"/>
              </w:rPr>
              <w:t xml:space="preserve">Identified backend capabilities without corresponding frontend coverage (stock reservations, goods-receipt workflow) for future prioritization.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Duplicated JWT handling across services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Consolidated three independent implementations into the shared library's single utility class — closing the gap identified during the documentation checkpoint.</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Build failure: "duplicated in the reactor"</w:t>
            </w:r>
          </w:p>
        </w:tc>
        <w:tc>
          <w:tcPr>
            <w:tcW w:type="dxa" w:w="6000"/>
            <w:tcMar>
              <w:top w:type="dxa" w:w="80"/>
              <w:left w:type="dxa" w:w="100"/>
              <w:bottom w:type="dxa" w:w="80"/>
              <w:right w:type="dxa" w:w="100"/>
            </w:tcMar>
          </w:tcPr>
          <w:p>
            <w:pPr>
              <w:jc w:val="left"/>
            </w:pPr>
            <w:r>
              <w:rPr>
                <w:b w:val="false"/>
                <w:bCs w:val="false"/>
                <w:color w:val="111827"/>
                <w:sz w:val="19"/>
                <w:szCs w:val="19"/>
              </w:rPr>
              <w:t xml:space="preserve">One service's POM file had been overwritten with another service's content; restored the correct file.</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Schema startup failure from a boolean column type mismatch</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The ORM layer rejects one boolean column representation used by the migration tool on this database engine; standardized on the compatible representation.</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Dependency injection failure with multiple beans of the same type</w:t>
            </w:r>
          </w:p>
        </w:tc>
        <w:tc>
          <w:tcPr>
            <w:tcW w:type="dxa" w:w="6000"/>
            <w:tcMar>
              <w:top w:type="dxa" w:w="80"/>
              <w:left w:type="dxa" w:w="100"/>
              <w:bottom w:type="dxa" w:w="80"/>
              <w:right w:type="dxa" w:w="100"/>
            </w:tcMar>
          </w:tcPr>
          <w:p>
            <w:pPr>
              <w:jc w:val="left"/>
            </w:pPr>
            <w:r>
              <w:rPr>
                <w:b w:val="false"/>
                <w:bCs w:val="false"/>
                <w:color w:val="111827"/>
                <w:sz w:val="19"/>
                <w:szCs w:val="19"/>
              </w:rPr>
              <w:t xml:space="preserve">A qualifier annotation on a Lombok-generated constructor field is not carried to the generated constructor parameter. Resolved by writing the constructor explicitly where multiple beans of the same type are in play.</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Signing secrets rejected at runtime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Secrets below the minimum key length for the signing algorithm are rejected; regenerated to the required length.</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Tracing library incompatible with the current servlet API</w:t>
            </w:r>
          </w:p>
        </w:tc>
        <w:tc>
          <w:tcPr>
            <w:tcW w:type="dxa" w:w="6000"/>
            <w:tcMar>
              <w:top w:type="dxa" w:w="80"/>
              <w:left w:type="dxa" w:w="100"/>
              <w:bottom w:type="dxa" w:w="80"/>
              <w:right w:type="dxa" w:w="100"/>
            </w:tcMar>
          </w:tcPr>
          <w:p>
            <w:pPr>
              <w:jc w:val="left"/>
            </w:pPr>
            <w:r>
              <w:rPr>
                <w:b w:val="false"/>
                <w:bCs w:val="false"/>
                <w:color w:val="111827"/>
                <w:sz w:val="19"/>
                <w:szCs w:val="19"/>
              </w:rPr>
              <w:t xml:space="preserve">Addressed as part of the distributed-tracing rollout, described below.</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Syntax error in a security configuration file</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A missing separator was silently narrowing the set of permitted endpoints; corrected.</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Infrastructure and pipeline bootstrap ordering</w:t>
            </w:r>
          </w:p>
        </w:tc>
        <w:tc>
          <w:tcPr>
            <w:tcW w:type="dxa" w:w="6000"/>
            <w:tcMar>
              <w:top w:type="dxa" w:w="80"/>
              <w:left w:type="dxa" w:w="100"/>
              <w:bottom w:type="dxa" w:w="80"/>
              <w:right w:type="dxa" w:w="100"/>
            </w:tcMar>
          </w:tcPr>
          <w:p>
            <w:pPr>
              <w:jc w:val="left"/>
            </w:pPr>
            <w:r>
              <w:rPr>
                <w:b w:val="false"/>
                <w:bCs w:val="false"/>
                <w:color w:val="111827"/>
                <w:sz w:val="19"/>
                <w:szCs w:val="19"/>
              </w:rPr>
              <w:t xml:space="preserve">Implemented a targeted apply sequence for first-time infrastructure provisioning and a guard step in the pipeline that skips deployment jobs gracefully when infrastructure is not yet provisioned.</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Configuration drift in deployment variables</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Corrected undeclared variables, an outdated single-secret reference, an undersized database instance class, and an insufficient instance count in the example configuration; updated the environment and variable templates to serve as accurate starting points for a new deployment.</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Infrastructure hardening batch</w:t>
            </w:r>
          </w:p>
        </w:tc>
        <w:tc>
          <w:tcPr>
            <w:tcW w:type="dxa" w:w="6000"/>
            <w:tcMar>
              <w:top w:type="dxa" w:w="80"/>
              <w:left w:type="dxa" w:w="100"/>
              <w:bottom w:type="dxa" w:w="80"/>
              <w:right w:type="dxa" w:w="100"/>
            </w:tcMar>
          </w:tcPr>
          <w:p>
            <w:pPr>
              <w:jc w:val="left"/>
            </w:pPr>
            <w:r>
              <w:rPr>
                <w:b w:val="false"/>
                <w:bCs w:val="false"/>
                <w:color w:val="111827"/>
                <w:sz w:val="19"/>
                <w:szCs w:val="19"/>
              </w:rPr>
              <w:t xml:space="preserve">Adopted managed schema migrations in place of automatic schema updates; added in-process caching on read-heavy endpoints; enabled distributed tracing; added rate limiting on authentication endpoints; enabled network traffic logging; added capacity and health alarms; enabled object storage versioning; enforced immutable container image tags; adopted target-tracking capacity scaling; and migrated secret storage to individually scoped parameters.</w:t>
            </w:r>
          </w:p>
        </w:tc>
      </w:tr>
    </w:tbl>
    <w:p>
      <w:pPr>
        <w:spacing w:after="120"/>
      </w:pPr>
      <w:r>
        <w:t xml:space="preserve"/>
      </w:r>
    </w:p>
    <w:p>
      <w:pPr>
        <w:pStyle w:val="Heading3"/>
        <w:spacing w:after="100" w:before="200"/>
      </w:pPr>
      <w:r>
        <w:t xml:space="preserve">Outcome</w:t>
      </w:r>
    </w:p>
    <w:p>
      <w:pPr>
        <w:spacing w:after="120"/>
      </w:pPr>
      <w:r>
        <w:t xml:space="preserve">Closed the shared-library gap identified during the documentation checkpoint, matured the operational debugging process into a repeatable pattern (service events → stopped-task detail → application logs → root cause), and delivered most of the resilience and observability capabilities present in the system today.</w:t>
      </w:r>
    </w:p>
    <w:p>
      <w:pPr>
        <w:pStyle w:val="Heading1"/>
        <w:spacing w:after="80" w:before="400"/>
      </w:pPr>
      <w:r>
        <w:t xml:space="preserve">Phase 8 — Documentation &amp; Code Hygiene</w:t>
      </w:r>
    </w:p>
    <w:p>
      <w:pPr>
        <w:spacing w:after="120"/>
      </w:pPr>
      <w:r>
        <w:rPr>
          <w:i/>
          <w:iCs/>
          <w:color w:val="6B7280"/>
          <w:sz w:val="19"/>
          <w:szCs w:val="19"/>
        </w:rPr>
        <w:t xml:space="preserve">Current phase</w:t>
      </w:r>
    </w:p>
    <w:p>
      <w:pPr>
        <w:pStyle w:val="Heading3"/>
        <w:spacing w:after="100" w:before="200"/>
      </w:pPr>
      <w:r>
        <w:t xml:space="preserve">Objective</w:t>
      </w:r>
    </w:p>
    <w:p>
      <w:pPr>
        <w:spacing w:after="120"/>
      </w:pPr>
      <w:r>
        <w:t xml:space="preserve">Bring project documentation in line with the current, verified state of the codebase, and standardize source-code comments across every service and infrastructure file to retain only current, essential information.</w:t>
      </w:r>
    </w:p>
    <w:p>
      <w:pPr>
        <w:pStyle w:val="Heading3"/>
        <w:spacing w:after="100" w:before="200"/>
      </w:pPr>
      <w:r>
        <w:t xml:space="preserve">Issues addressed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2A4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2A44" w:val="clear"/>
            <w:tcMar>
              <w:top w:type="dxa" w:w="80"/>
              <w:left w:type="dxa" w:w="100"/>
              <w:bottom w:type="dxa" w:w="80"/>
              <w:right w:type="dxa" w:w="100"/>
            </w:tcMar>
          </w:tcPr>
          <w:p>
            <w:pPr>
              <w:jc w:val="left"/>
            </w:pPr>
            <w:r>
              <w:rPr>
                <w:b/>
                <w:bCs/>
                <w:color w:val="FFFFFF"/>
                <w:sz w:val="19"/>
                <w:szCs w:val="19"/>
              </w:rPr>
              <w:t xml:space="preserve">Root cause &amp; resolution</w:t>
            </w:r>
          </w:p>
        </w:tc>
      </w:tr>
      <w:tr>
        <w:tc>
          <w:tcPr>
            <w:tcW w:type="dxa" w:w="3600"/>
            <w:shd w:fill="EEF2F8" w:val="clear"/>
            <w:tcMar>
              <w:top w:type="dxa" w:w="80"/>
              <w:left w:type="dxa" w:w="100"/>
              <w:bottom w:type="dxa" w:w="80"/>
              <w:right w:type="dxa" w:w="100"/>
            </w:tcMar>
          </w:tcPr>
          <w:p>
            <w:pPr>
              <w:jc w:val="left"/>
            </w:pPr>
            <w:r>
              <w:rPr>
                <w:b w:val="false"/>
                <w:bCs w:val="false"/>
                <w:color w:val="111827"/>
                <w:sz w:val="19"/>
                <w:szCs w:val="19"/>
              </w:rPr>
              <w:t xml:space="preserve">Documentation drift from the deployed system</w:t>
            </w:r>
          </w:p>
        </w:tc>
        <w:tc>
          <w:tcPr>
            <w:tcW w:type="dxa" w:w="6000"/>
            <w:shd w:fill="EEF2F8" w:val="clear"/>
            <w:tcMar>
              <w:top w:type="dxa" w:w="80"/>
              <w:left w:type="dxa" w:w="100"/>
              <w:bottom w:type="dxa" w:w="80"/>
              <w:right w:type="dxa" w:w="100"/>
            </w:tcMar>
          </w:tcPr>
          <w:p>
            <w:pPr>
              <w:jc w:val="left"/>
            </w:pPr>
            <w:r>
              <w:rPr>
                <w:b w:val="false"/>
                <w:bCs w:val="false"/>
                <w:color w:val="111827"/>
                <w:sz w:val="19"/>
                <w:szCs w:val="19"/>
              </w:rPr>
              <w:t xml:space="preserve">The existing README described a single combined JWT secret and a different secret-storage mechanism than what the codebase actually uses. Regenerated the README, development lifecycle record, and technical reference directly from the current codebase.</w:t>
            </w:r>
          </w:p>
        </w:tc>
      </w:tr>
      <w:tr>
        <w:tc>
          <w:tcPr>
            <w:tcW w:type="dxa" w:w="3600"/>
            <w:tcMar>
              <w:top w:type="dxa" w:w="80"/>
              <w:left w:type="dxa" w:w="100"/>
              <w:bottom w:type="dxa" w:w="80"/>
              <w:right w:type="dxa" w:w="100"/>
            </w:tcMar>
          </w:tcPr>
          <w:p>
            <w:pPr>
              <w:jc w:val="left"/>
            </w:pPr>
            <w:r>
              <w:rPr>
                <w:b w:val="false"/>
                <w:bCs w:val="false"/>
                <w:color w:val="111827"/>
                <w:sz w:val="19"/>
                <w:szCs w:val="19"/>
              </w:rPr>
              <w:t xml:space="preserve">Inconsistent, historically-narrated source comments</w:t>
            </w:r>
          </w:p>
        </w:tc>
        <w:tc>
          <w:tcPr>
            <w:tcW w:type="dxa" w:w="6000"/>
            <w:tcMar>
              <w:top w:type="dxa" w:w="80"/>
              <w:left w:type="dxa" w:w="100"/>
              <w:bottom w:type="dxa" w:w="80"/>
              <w:right w:type="dxa" w:w="100"/>
            </w:tcMar>
          </w:tcPr>
          <w:p>
            <w:pPr>
              <w:jc w:val="left"/>
            </w:pPr>
            <w:r>
              <w:rPr>
                <w:b w:val="false"/>
                <w:bCs w:val="false"/>
                <w:color w:val="111827"/>
                <w:sz w:val="19"/>
                <w:szCs w:val="19"/>
              </w:rPr>
              <w:t xml:space="preserve">Comments throughout the Java, JavaScript, Terraform, YAML, SQL, and configuration files described past states and prior defects rather than current behavior. Standardized every file to minimal, current-state comments only.</w:t>
            </w:r>
          </w:p>
        </w:tc>
      </w:tr>
    </w:tbl>
    <w:p>
      <w:pPr>
        <w:spacing w:after="120"/>
      </w:pPr>
      <w:r>
        <w:t xml:space="preserve"/>
      </w:r>
    </w:p>
    <w:p>
      <w:pPr>
        <w:pStyle w:val="Heading3"/>
        <w:spacing w:after="100" w:before="200"/>
      </w:pPr>
      <w:r>
        <w:t xml:space="preserve">Outcome</w:t>
      </w:r>
    </w:p>
    <w:p>
      <w:pPr>
        <w:spacing w:after="120"/>
      </w:pPr>
      <w:r>
        <w:t xml:space="preserve">Documentation and source comments now reflect the current, deployed state of the system rather than its development history.</w:t>
      </w:r>
    </w:p>
    <w:p>
      <w:pPr>
        <w:pBdr>
          <w:bottom w:val="single" w:color="D1D5DB" w:sz="6"/>
        </w:pBdr>
        <w:spacing w:after="240"/>
      </w:pPr>
    </w:p>
    <w:p>
      <w:pPr>
        <w:pStyle w:val="Heading1"/>
        <w:spacing w:after="160" w:before="320"/>
      </w:pPr>
      <w:r>
        <w:t xml:space="preserve">Summary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rPr>
          <w:tblHeader/>
        </w:trPr>
        <w:tc>
          <w:tcPr>
            <w:tcW w:type="dxa" w:w="2200"/>
            <w:shd w:fill="1F2A44" w:val="clear"/>
            <w:tcMar>
              <w:top w:type="dxa" w:w="80"/>
              <w:left w:type="dxa" w:w="100"/>
              <w:bottom w:type="dxa" w:w="80"/>
              <w:right w:type="dxa" w:w="100"/>
            </w:tcMar>
          </w:tcPr>
          <w:p>
            <w:pPr>
              <w:jc w:val="left"/>
            </w:pPr>
            <w:r>
              <w:rPr>
                <w:b/>
                <w:bCs/>
                <w:color w:val="FFFFFF"/>
                <w:sz w:val="19"/>
                <w:szCs w:val="19"/>
              </w:rPr>
              <w:t xml:space="preserve">Phase</w:t>
            </w:r>
          </w:p>
        </w:tc>
        <w:tc>
          <w:tcPr>
            <w:tcW w:type="dxa" w:w="3200"/>
            <w:shd w:fill="1F2A44" w:val="clear"/>
            <w:tcMar>
              <w:top w:type="dxa" w:w="80"/>
              <w:left w:type="dxa" w:w="100"/>
              <w:bottom w:type="dxa" w:w="80"/>
              <w:right w:type="dxa" w:w="100"/>
            </w:tcMar>
          </w:tcPr>
          <w:p>
            <w:pPr>
              <w:jc w:val="left"/>
            </w:pPr>
            <w:r>
              <w:rPr>
                <w:b/>
                <w:bCs/>
                <w:color w:val="FFFFFF"/>
                <w:sz w:val="19"/>
                <w:szCs w:val="19"/>
              </w:rPr>
              <w:t xml:space="preserve">Focus</w:t>
            </w:r>
          </w:p>
        </w:tc>
        <w:tc>
          <w:tcPr>
            <w:tcW w:type="dxa" w:w="4200"/>
            <w:shd w:fill="1F2A44" w:val="clear"/>
            <w:tcMar>
              <w:top w:type="dxa" w:w="80"/>
              <w:left w:type="dxa" w:w="100"/>
              <w:bottom w:type="dxa" w:w="80"/>
              <w:right w:type="dxa" w:w="100"/>
            </w:tcMar>
          </w:tcPr>
          <w:p>
            <w:pPr>
              <w:jc w:val="left"/>
            </w:pPr>
            <w:r>
              <w:rPr>
                <w:b/>
                <w:bCs/>
                <w:color w:val="FFFFFF"/>
                <w:sz w:val="19"/>
                <w:szCs w:val="19"/>
              </w:rPr>
              <w:t xml:space="preserve">Headline outcome</w:t>
            </w:r>
          </w:p>
        </w:tc>
      </w:tr>
      <w:tr>
        <w:tc>
          <w:tcPr>
            <w:tcW w:type="dxa" w:w="2200"/>
            <w:shd w:fill="EEF2F8" w:val="clear"/>
            <w:tcMar>
              <w:top w:type="dxa" w:w="80"/>
              <w:left w:type="dxa" w:w="100"/>
              <w:bottom w:type="dxa" w:w="80"/>
              <w:right w:type="dxa" w:w="100"/>
            </w:tcMar>
          </w:tcPr>
          <w:p>
            <w:pPr>
              <w:jc w:val="left"/>
            </w:pPr>
            <w:r>
              <w:rPr>
                <w:b w:val="false"/>
                <w:bCs w:val="false"/>
                <w:color w:val="111827"/>
                <w:sz w:val="19"/>
                <w:szCs w:val="19"/>
              </w:rPr>
              <w:t xml:space="preserve">1 — Foundations &amp; MVP</w:t>
            </w:r>
          </w:p>
        </w:tc>
        <w:tc>
          <w:tcPr>
            <w:tcW w:type="dxa" w:w="3200"/>
            <w:shd w:fill="EEF2F8" w:val="clear"/>
            <w:tcMar>
              <w:top w:type="dxa" w:w="80"/>
              <w:left w:type="dxa" w:w="100"/>
              <w:bottom w:type="dxa" w:w="80"/>
              <w:right w:type="dxa" w:w="100"/>
            </w:tcMar>
          </w:tcPr>
          <w:p>
            <w:pPr>
              <w:jc w:val="left"/>
            </w:pPr>
            <w:r>
              <w:rPr>
                <w:b w:val="false"/>
                <w:bCs w:val="false"/>
                <w:color w:val="111827"/>
                <w:sz w:val="19"/>
                <w:szCs w:val="19"/>
              </w:rPr>
              <w:t xml:space="preserve">Two-service baseline</w:t>
            </w:r>
          </w:p>
        </w:tc>
        <w:tc>
          <w:tcPr>
            <w:tcW w:type="dxa" w:w="4200"/>
            <w:shd w:fill="EEF2F8" w:val="clear"/>
            <w:tcMar>
              <w:top w:type="dxa" w:w="80"/>
              <w:left w:type="dxa" w:w="100"/>
              <w:bottom w:type="dxa" w:w="80"/>
              <w:right w:type="dxa" w:w="100"/>
            </w:tcMar>
          </w:tcPr>
          <w:p>
            <w:pPr>
              <w:jc w:val="left"/>
            </w:pPr>
            <w:r>
              <w:rPr>
                <w:b w:val="false"/>
                <w:bCs w:val="false"/>
                <w:color w:val="111827"/>
                <w:sz w:val="19"/>
                <w:szCs w:val="19"/>
              </w:rPr>
              <w:t xml:space="preserve">DDD layering and tab-isolated sessions established</w:t>
            </w:r>
          </w:p>
        </w:tc>
      </w:tr>
      <w:tr>
        <w:tc>
          <w:tcPr>
            <w:tcW w:type="dxa" w:w="2200"/>
            <w:tcMar>
              <w:top w:type="dxa" w:w="80"/>
              <w:left w:type="dxa" w:w="100"/>
              <w:bottom w:type="dxa" w:w="80"/>
              <w:right w:type="dxa" w:w="100"/>
            </w:tcMar>
          </w:tcPr>
          <w:p>
            <w:pPr>
              <w:jc w:val="left"/>
            </w:pPr>
            <w:r>
              <w:rPr>
                <w:b w:val="false"/>
                <w:bCs w:val="false"/>
                <w:color w:val="111827"/>
                <w:sz w:val="19"/>
                <w:szCs w:val="19"/>
              </w:rPr>
              <w:t xml:space="preserve">2 — AWS Migration</w:t>
            </w:r>
          </w:p>
        </w:tc>
        <w:tc>
          <w:tcPr>
            <w:tcW w:type="dxa" w:w="3200"/>
            <w:tcMar>
              <w:top w:type="dxa" w:w="80"/>
              <w:left w:type="dxa" w:w="100"/>
              <w:bottom w:type="dxa" w:w="80"/>
              <w:right w:type="dxa" w:w="100"/>
            </w:tcMar>
          </w:tcPr>
          <w:p>
            <w:pPr>
              <w:jc w:val="left"/>
            </w:pPr>
            <w:r>
              <w:rPr>
                <w:b w:val="false"/>
                <w:bCs w:val="false"/>
                <w:color w:val="111827"/>
                <w:sz w:val="19"/>
                <w:szCs w:val="19"/>
              </w:rPr>
              <w:t xml:space="preserve">Five-service system on ECS</w:t>
            </w:r>
          </w:p>
        </w:tc>
        <w:tc>
          <w:tcPr>
            <w:tcW w:type="dxa" w:w="4200"/>
            <w:tcMar>
              <w:top w:type="dxa" w:w="80"/>
              <w:left w:type="dxa" w:w="100"/>
              <w:bottom w:type="dxa" w:w="80"/>
              <w:right w:type="dxa" w:w="100"/>
            </w:tcMar>
          </w:tcPr>
          <w:p>
            <w:pPr>
              <w:jc w:val="left"/>
            </w:pPr>
            <w:r>
              <w:rPr>
                <w:b w:val="false"/>
                <w:bCs w:val="false"/>
                <w:color w:val="111827"/>
                <w:sz w:val="19"/>
                <w:szCs w:val="19"/>
              </w:rPr>
              <w:t xml:space="preserve">Production AWS deployment shape established</w:t>
            </w:r>
          </w:p>
        </w:tc>
      </w:tr>
      <w:tr>
        <w:tc>
          <w:tcPr>
            <w:tcW w:type="dxa" w:w="2200"/>
            <w:shd w:fill="EEF2F8" w:val="clear"/>
            <w:tcMar>
              <w:top w:type="dxa" w:w="80"/>
              <w:left w:type="dxa" w:w="100"/>
              <w:bottom w:type="dxa" w:w="80"/>
              <w:right w:type="dxa" w:w="100"/>
            </w:tcMar>
          </w:tcPr>
          <w:p>
            <w:pPr>
              <w:jc w:val="left"/>
            </w:pPr>
            <w:r>
              <w:rPr>
                <w:b w:val="false"/>
                <w:bCs w:val="false"/>
                <w:color w:val="111827"/>
                <w:sz w:val="19"/>
                <w:szCs w:val="19"/>
              </w:rPr>
              <w:t xml:space="preserve">3 — Federation &amp; Auth Hardening</w:t>
            </w:r>
          </w:p>
        </w:tc>
        <w:tc>
          <w:tcPr>
            <w:tcW w:type="dxa" w:w="3200"/>
            <w:shd w:fill="EEF2F8" w:val="clear"/>
            <w:tcMar>
              <w:top w:type="dxa" w:w="80"/>
              <w:left w:type="dxa" w:w="100"/>
              <w:bottom w:type="dxa" w:w="80"/>
              <w:right w:type="dxa" w:w="100"/>
            </w:tcMar>
          </w:tcPr>
          <w:p>
            <w:pPr>
              <w:jc w:val="left"/>
            </w:pPr>
            <w:r>
              <w:rPr>
                <w:b w:val="false"/>
                <w:bCs w:val="false"/>
                <w:color w:val="111827"/>
                <w:sz w:val="19"/>
                <w:szCs w:val="19"/>
              </w:rPr>
              <w:t xml:space="preserve">Frontend stability, RBAC</w:t>
            </w:r>
          </w:p>
        </w:tc>
        <w:tc>
          <w:tcPr>
            <w:tcW w:type="dxa" w:w="4200"/>
            <w:shd w:fill="EEF2F8" w:val="clear"/>
            <w:tcMar>
              <w:top w:type="dxa" w:w="80"/>
              <w:left w:type="dxa" w:w="100"/>
              <w:bottom w:type="dxa" w:w="80"/>
              <w:right w:type="dxa" w:w="100"/>
            </w:tcMar>
          </w:tcPr>
          <w:p>
            <w:pPr>
              <w:jc w:val="left"/>
            </w:pPr>
            <w:r>
              <w:rPr>
                <w:b w:val="false"/>
                <w:bCs w:val="false"/>
                <w:color w:val="111827"/>
                <w:sz w:val="19"/>
                <w:szCs w:val="19"/>
              </w:rPr>
              <w:t xml:space="preserve">Federated-context wrapper pattern; hybrid auth model finalized</w:t>
            </w:r>
          </w:p>
        </w:tc>
      </w:tr>
      <w:tr>
        <w:tc>
          <w:tcPr>
            <w:tcW w:type="dxa" w:w="2200"/>
            <w:tcMar>
              <w:top w:type="dxa" w:w="80"/>
              <w:left w:type="dxa" w:w="100"/>
              <w:bottom w:type="dxa" w:w="80"/>
              <w:right w:type="dxa" w:w="100"/>
            </w:tcMar>
          </w:tcPr>
          <w:p>
            <w:pPr>
              <w:jc w:val="left"/>
            </w:pPr>
            <w:r>
              <w:rPr>
                <w:b w:val="false"/>
                <w:bCs w:val="false"/>
                <w:color w:val="111827"/>
                <w:sz w:val="19"/>
                <w:szCs w:val="19"/>
              </w:rPr>
              <w:t xml:space="preserve">4 — Documentation Baseline</w:t>
            </w:r>
          </w:p>
        </w:tc>
        <w:tc>
          <w:tcPr>
            <w:tcW w:type="dxa" w:w="3200"/>
            <w:tcMar>
              <w:top w:type="dxa" w:w="80"/>
              <w:left w:type="dxa" w:w="100"/>
              <w:bottom w:type="dxa" w:w="80"/>
              <w:right w:type="dxa" w:w="100"/>
            </w:tcMar>
          </w:tcPr>
          <w:p>
            <w:pPr>
              <w:jc w:val="left"/>
            </w:pPr>
            <w:r>
              <w:rPr>
                <w:b w:val="false"/>
                <w:bCs w:val="false"/>
                <w:color w:val="111827"/>
                <w:sz w:val="19"/>
                <w:szCs w:val="19"/>
              </w:rPr>
              <w:t xml:space="preserve">First documentation set</w:t>
            </w:r>
          </w:p>
        </w:tc>
        <w:tc>
          <w:tcPr>
            <w:tcW w:type="dxa" w:w="4200"/>
            <w:tcMar>
              <w:top w:type="dxa" w:w="80"/>
              <w:left w:type="dxa" w:w="100"/>
              <w:bottom w:type="dxa" w:w="80"/>
              <w:right w:type="dxa" w:w="100"/>
            </w:tcMar>
          </w:tcPr>
          <w:p>
            <w:pPr>
              <w:jc w:val="left"/>
            </w:pPr>
            <w:r>
              <w:rPr>
                <w:b w:val="false"/>
                <w:bCs w:val="false"/>
                <w:color w:val="111827"/>
                <w:sz w:val="19"/>
                <w:szCs w:val="19"/>
              </w:rPr>
              <w:t xml:space="preserve">Favicon and shared-library gaps identified</w:t>
            </w:r>
          </w:p>
        </w:tc>
      </w:tr>
      <w:tr>
        <w:tc>
          <w:tcPr>
            <w:tcW w:type="dxa" w:w="2200"/>
            <w:shd w:fill="EEF2F8" w:val="clear"/>
            <w:tcMar>
              <w:top w:type="dxa" w:w="80"/>
              <w:left w:type="dxa" w:w="100"/>
              <w:bottom w:type="dxa" w:w="80"/>
              <w:right w:type="dxa" w:w="100"/>
            </w:tcMar>
          </w:tcPr>
          <w:p>
            <w:pPr>
              <w:jc w:val="left"/>
            </w:pPr>
            <w:r>
              <w:rPr>
                <w:b w:val="false"/>
                <w:bCs w:val="false"/>
                <w:color w:val="111827"/>
                <w:sz w:val="19"/>
                <w:szCs w:val="19"/>
              </w:rPr>
              <w:t xml:space="preserve">5 — Incident Resolution</w:t>
            </w:r>
          </w:p>
        </w:tc>
        <w:tc>
          <w:tcPr>
            <w:tcW w:type="dxa" w:w="3200"/>
            <w:shd w:fill="EEF2F8" w:val="clear"/>
            <w:tcMar>
              <w:top w:type="dxa" w:w="80"/>
              <w:left w:type="dxa" w:w="100"/>
              <w:bottom w:type="dxa" w:w="80"/>
              <w:right w:type="dxa" w:w="100"/>
            </w:tcMar>
          </w:tcPr>
          <w:p>
            <w:pPr>
              <w:jc w:val="left"/>
            </w:pPr>
            <w:r>
              <w:rPr>
                <w:b w:val="false"/>
                <w:bCs w:val="false"/>
                <w:color w:val="111827"/>
                <w:sz w:val="19"/>
                <w:szCs w:val="19"/>
              </w:rPr>
              <w:t xml:space="preserve">Production stabilization</w:t>
            </w:r>
          </w:p>
        </w:tc>
        <w:tc>
          <w:tcPr>
            <w:tcW w:type="dxa" w:w="4200"/>
            <w:shd w:fill="EEF2F8" w:val="clear"/>
            <w:tcMar>
              <w:top w:type="dxa" w:w="80"/>
              <w:left w:type="dxa" w:w="100"/>
              <w:bottom w:type="dxa" w:w="80"/>
              <w:right w:type="dxa" w:w="100"/>
            </w:tcMar>
          </w:tcPr>
          <w:p>
            <w:pPr>
              <w:jc w:val="left"/>
            </w:pPr>
            <w:r>
              <w:rPr>
                <w:b w:val="false"/>
                <w:bCs w:val="false"/>
                <w:color w:val="111827"/>
                <w:sz w:val="19"/>
                <w:szCs w:val="19"/>
              </w:rPr>
              <w:t xml:space="preserve">Cascading auth/networking defect chain resolved; infra consolidated</w:t>
            </w:r>
          </w:p>
        </w:tc>
      </w:tr>
      <w:tr>
        <w:tc>
          <w:tcPr>
            <w:tcW w:type="dxa" w:w="2200"/>
            <w:tcMar>
              <w:top w:type="dxa" w:w="80"/>
              <w:left w:type="dxa" w:w="100"/>
              <w:bottom w:type="dxa" w:w="80"/>
              <w:right w:type="dxa" w:w="100"/>
            </w:tcMar>
          </w:tcPr>
          <w:p>
            <w:pPr>
              <w:jc w:val="left"/>
            </w:pPr>
            <w:r>
              <w:rPr>
                <w:b w:val="false"/>
                <w:bCs w:val="false"/>
                <w:color w:val="111827"/>
                <w:sz w:val="19"/>
                <w:szCs w:val="19"/>
              </w:rPr>
              <w:t xml:space="preserve">6 — Well-Architected Alignment</w:t>
            </w:r>
          </w:p>
        </w:tc>
        <w:tc>
          <w:tcPr>
            <w:tcW w:type="dxa" w:w="3200"/>
            <w:tcMar>
              <w:top w:type="dxa" w:w="80"/>
              <w:left w:type="dxa" w:w="100"/>
              <w:bottom w:type="dxa" w:w="80"/>
              <w:right w:type="dxa" w:w="100"/>
            </w:tcMar>
          </w:tcPr>
          <w:p>
            <w:pPr>
              <w:jc w:val="left"/>
            </w:pPr>
            <w:r>
              <w:rPr>
                <w:b w:val="false"/>
                <w:bCs w:val="false"/>
                <w:color w:val="111827"/>
                <w:sz w:val="19"/>
                <w:szCs w:val="19"/>
              </w:rPr>
              <w:t xml:space="preserve">Six-pillar infra review</w:t>
            </w:r>
          </w:p>
        </w:tc>
        <w:tc>
          <w:tcPr>
            <w:tcW w:type="dxa" w:w="4200"/>
            <w:tcMar>
              <w:top w:type="dxa" w:w="80"/>
              <w:left w:type="dxa" w:w="100"/>
              <w:bottom w:type="dxa" w:w="80"/>
              <w:right w:type="dxa" w:w="100"/>
            </w:tcMar>
          </w:tcPr>
          <w:p>
            <w:pPr>
              <w:jc w:val="left"/>
            </w:pPr>
            <w:r>
              <w:rPr>
                <w:b w:val="false"/>
                <w:bCs w:val="false"/>
                <w:color w:val="111827"/>
                <w:sz w:val="19"/>
                <w:szCs w:val="19"/>
              </w:rPr>
              <w:t xml:space="preserve">Three-secret JWT model; read replica; managed WAF rules</w:t>
            </w:r>
          </w:p>
        </w:tc>
      </w:tr>
      <w:tr>
        <w:tc>
          <w:tcPr>
            <w:tcW w:type="dxa" w:w="2200"/>
            <w:shd w:fill="EEF2F8" w:val="clear"/>
            <w:tcMar>
              <w:top w:type="dxa" w:w="80"/>
              <w:left w:type="dxa" w:w="100"/>
              <w:bottom w:type="dxa" w:w="80"/>
              <w:right w:type="dxa" w:w="100"/>
            </w:tcMar>
          </w:tcPr>
          <w:p>
            <w:pPr>
              <w:jc w:val="left"/>
            </w:pPr>
            <w:r>
              <w:rPr>
                <w:b w:val="false"/>
                <w:bCs w:val="false"/>
                <w:color w:val="111827"/>
                <w:sz w:val="19"/>
                <w:szCs w:val="19"/>
              </w:rPr>
              <w:t xml:space="preserve">7 — Governance &amp; Consolidation</w:t>
            </w:r>
          </w:p>
        </w:tc>
        <w:tc>
          <w:tcPr>
            <w:tcW w:type="dxa" w:w="3200"/>
            <w:shd w:fill="EEF2F8" w:val="clear"/>
            <w:tcMar>
              <w:top w:type="dxa" w:w="80"/>
              <w:left w:type="dxa" w:w="100"/>
              <w:bottom w:type="dxa" w:w="80"/>
              <w:right w:type="dxa" w:w="100"/>
            </w:tcMar>
          </w:tcPr>
          <w:p>
            <w:pPr>
              <w:jc w:val="left"/>
            </w:pPr>
            <w:r>
              <w:rPr>
                <w:b w:val="false"/>
                <w:bCs w:val="false"/>
                <w:color w:val="111827"/>
                <w:sz w:val="19"/>
                <w:szCs w:val="19"/>
              </w:rPr>
              <w:t xml:space="preserve">Admin controls, hardening</w:t>
            </w:r>
          </w:p>
        </w:tc>
        <w:tc>
          <w:tcPr>
            <w:tcW w:type="dxa" w:w="4200"/>
            <w:shd w:fill="EEF2F8" w:val="clear"/>
            <w:tcMar>
              <w:top w:type="dxa" w:w="80"/>
              <w:left w:type="dxa" w:w="100"/>
              <w:bottom w:type="dxa" w:w="80"/>
              <w:right w:type="dxa" w:w="100"/>
            </w:tcMar>
          </w:tcPr>
          <w:p>
            <w:pPr>
              <w:jc w:val="left"/>
            </w:pPr>
            <w:r>
              <w:rPr>
                <w:b w:val="false"/>
                <w:bCs w:val="false"/>
                <w:color w:val="111827"/>
                <w:sz w:val="19"/>
                <w:szCs w:val="19"/>
              </w:rPr>
              <w:t xml:space="preserve">Admin bootstrap model; shared-library gap closed; 11-item hardening batch</w:t>
            </w:r>
          </w:p>
        </w:tc>
      </w:tr>
      <w:tr>
        <w:tc>
          <w:tcPr>
            <w:tcW w:type="dxa" w:w="2200"/>
            <w:tcMar>
              <w:top w:type="dxa" w:w="80"/>
              <w:left w:type="dxa" w:w="100"/>
              <w:bottom w:type="dxa" w:w="80"/>
              <w:right w:type="dxa" w:w="100"/>
            </w:tcMar>
          </w:tcPr>
          <w:p>
            <w:pPr>
              <w:jc w:val="left"/>
            </w:pPr>
            <w:r>
              <w:rPr>
                <w:b w:val="false"/>
                <w:bCs w:val="false"/>
                <w:color w:val="111827"/>
                <w:sz w:val="19"/>
                <w:szCs w:val="19"/>
              </w:rPr>
              <w:t xml:space="preserve">8 — Documentation &amp; Hygiene</w:t>
            </w:r>
          </w:p>
        </w:tc>
        <w:tc>
          <w:tcPr>
            <w:tcW w:type="dxa" w:w="3200"/>
            <w:tcMar>
              <w:top w:type="dxa" w:w="80"/>
              <w:left w:type="dxa" w:w="100"/>
              <w:bottom w:type="dxa" w:w="80"/>
              <w:right w:type="dxa" w:w="100"/>
            </w:tcMar>
          </w:tcPr>
          <w:p>
            <w:pPr>
              <w:jc w:val="left"/>
            </w:pPr>
            <w:r>
              <w:rPr>
                <w:b w:val="false"/>
                <w:bCs w:val="false"/>
                <w:color w:val="111827"/>
                <w:sz w:val="19"/>
                <w:szCs w:val="19"/>
              </w:rPr>
              <w:t xml:space="preserve">Docs and comment standardization</w:t>
            </w:r>
          </w:p>
        </w:tc>
        <w:tc>
          <w:tcPr>
            <w:tcW w:type="dxa" w:w="4200"/>
            <w:tcMar>
              <w:top w:type="dxa" w:w="80"/>
              <w:left w:type="dxa" w:w="100"/>
              <w:bottom w:type="dxa" w:w="80"/>
              <w:right w:type="dxa" w:w="100"/>
            </w:tcMar>
          </w:tcPr>
          <w:p>
            <w:pPr>
              <w:jc w:val="left"/>
            </w:pPr>
            <w:r>
              <w:rPr>
                <w:b w:val="false"/>
                <w:bCs w:val="false"/>
                <w:color w:val="111827"/>
                <w:sz w:val="19"/>
                <w:szCs w:val="19"/>
              </w:rPr>
              <w:t xml:space="preserve">Documentation and comments aligned to current system state</w:t>
            </w:r>
          </w:p>
        </w:tc>
      </w:tr>
    </w:tbl>
    <w:p>
      <w:pPr>
        <w:spacing w:after="200"/>
      </w:pPr>
    </w:p>
    <w:p>
      <w:pPr>
        <w:pStyle w:val="Heading1"/>
        <w:spacing w:after="160" w:before="320"/>
      </w:pPr>
      <w:r>
        <w:t xml:space="preserve">Engineering practices</w:t>
      </w:r>
    </w:p>
    <w:p>
      <w:pPr>
        <w:pStyle w:val="ListParagraph"/>
        <w:numPr>
          <w:ilvl w:val="0"/>
          <w:numId w:val="1"/>
        </w:numPr>
        <w:spacing w:after="60"/>
      </w:pPr>
      <w:r>
        <w:t xml:space="preserve">Every change is verified directly against the current codebase before being treated as complete.</w:t>
      </w:r>
    </w:p>
    <w:p>
      <w:pPr>
        <w:pStyle w:val="ListParagraph"/>
        <w:numPr>
          <w:ilvl w:val="0"/>
          <w:numId w:val="1"/>
        </w:numPr>
        <w:spacing w:after="60"/>
      </w:pPr>
      <w:r>
        <w:t xml:space="preserve">Defects are traced to root cause before a fix is applied, rather than patched at the symptom.</w:t>
      </w:r>
    </w:p>
    <w:p>
      <w:pPr>
        <w:pStyle w:val="ListParagraph"/>
        <w:numPr>
          <w:ilvl w:val="0"/>
          <w:numId w:val="1"/>
        </w:numPr>
        <w:spacing w:after="60"/>
      </w:pPr>
      <w:r>
        <w:t xml:space="preserve">CI/CD pipeline stability is treated as a hard constraint — a fix that breaks the pipeline is a new priority issue, not an acceptable trade-off.</w:t>
      </w:r>
    </w:p>
    <w:p>
      <w:pPr>
        <w:pStyle w:val="ListParagraph"/>
        <w:numPr>
          <w:ilvl w:val="0"/>
          <w:numId w:val="1"/>
        </w:numPr>
        <w:spacing w:after="60"/>
      </w:pPr>
      <w:r>
        <w:t xml:space="preserve">Infrastructure changes are evaluated from a fresh-deployment perspective, not from the current running state of the system.</w:t>
      </w:r>
    </w:p>
    <w:p>
      <w:pPr>
        <w:pStyle w:val="ListParagraph"/>
        <w:numPr>
          <w:ilvl w:val="0"/>
          <w:numId w:val="1"/>
        </w:numPr>
        <w:spacing w:after="60"/>
      </w:pPr>
      <w:r>
        <w:t xml:space="preserve">Changes are delivered incrementally, with functional correctness prioritized over cosmetic polish.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pBdr>
      <w:spacing w:after="160" w:before="320"/>
    </w:pPr>
    <w:rPr>
      <w:b/>
      <w:bCs/>
      <w:color w:val="1F2A44"/>
      <w:sz w:val="30"/>
      <w:szCs w:val="30"/>
    </w:rPr>
  </w:style>
  <w:style w:type="paragraph" w:styleId="Heading2">
    <w:name w:val="Heading 2"/>
    <w:basedOn w:val="Normal"/>
    <w:next w:val="Normal"/>
    <w:qFormat/>
    <w:rPr>
      <w:b/>
      <w:bCs/>
      <w:color w:val="2E5AAC"/>
      <w:sz w:val="25"/>
      <w:szCs w:val="25"/>
    </w:rPr>
  </w:style>
  <w:style w:type="paragraph" w:styleId="Heading3">
    <w:name w:val="Heading 3"/>
    <w:basedOn w:val="Normal"/>
    <w:next w:val="Normal"/>
    <w:qFormat/>
    <w:rPr>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2026-07-26T16:05:08.358Z</dcterms:created>
  <dcterms:modified xsi:type="dcterms:W3CDTF">2026-07-26T16:05:08.358Z</dcterms:modified>
</cp:coreProperties>
</file>

<file path=docProps/custom.xml><?xml version="1.0" encoding="utf-8"?>
<Properties xmlns="http://schemas.openxmlformats.org/officeDocument/2006/custom-properties" xmlns:vt="http://schemas.openxmlformats.org/officeDocument/2006/docPropsVTypes"/>
</file>