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42F5" w14:textId="65449D56" w:rsidR="00A138AD" w:rsidRPr="00A55D98" w:rsidRDefault="00000000">
      <w:pPr>
        <w:spacing w:after="100"/>
        <w:jc w:val="center"/>
        <w:rPr>
          <w:rFonts w:ascii="Times New Roman" w:hAnsi="Times New Roman" w:cs="Times New Roman"/>
          <w:sz w:val="20"/>
          <w:szCs w:val="20"/>
        </w:rPr>
      </w:pPr>
      <w:r w:rsidRPr="00A55D98">
        <w:rPr>
          <w:rFonts w:ascii="Times New Roman" w:hAnsi="Times New Roman" w:cs="Times New Roman"/>
          <w:b/>
          <w:bCs/>
          <w:sz w:val="28"/>
          <w:szCs w:val="28"/>
        </w:rPr>
        <w:t xml:space="preserve">Predicting </w:t>
      </w:r>
      <w:r w:rsidR="00A55D98" w:rsidRPr="00A55D98">
        <w:rPr>
          <w:rFonts w:ascii="Times New Roman" w:hAnsi="Times New Roman" w:cs="Times New Roman"/>
          <w:b/>
          <w:bCs/>
          <w:sz w:val="28"/>
          <w:szCs w:val="28"/>
        </w:rPr>
        <w:t xml:space="preserve">Graduation </w:t>
      </w:r>
      <w:proofErr w:type="gramStart"/>
      <w:r w:rsidR="00A55D98" w:rsidRPr="00A55D98">
        <w:rPr>
          <w:rFonts w:ascii="Times New Roman" w:hAnsi="Times New Roman" w:cs="Times New Roman"/>
          <w:b/>
          <w:bCs/>
          <w:sz w:val="28"/>
          <w:szCs w:val="28"/>
        </w:rPr>
        <w:t xml:space="preserve">Rates </w:t>
      </w:r>
      <w:r w:rsidR="00A55D98">
        <w:rPr>
          <w:rFonts w:ascii="Times New Roman" w:hAnsi="Times New Roman" w:cs="Times New Roman"/>
          <w:b/>
          <w:bCs/>
          <w:sz w:val="28"/>
          <w:szCs w:val="28"/>
        </w:rPr>
        <w:t xml:space="preserve"> for</w:t>
      </w:r>
      <w:proofErr w:type="gramEnd"/>
      <w:r w:rsidR="00A55D98">
        <w:rPr>
          <w:rFonts w:ascii="Times New Roman" w:hAnsi="Times New Roman" w:cs="Times New Roman"/>
          <w:b/>
          <w:bCs/>
          <w:sz w:val="28"/>
          <w:szCs w:val="28"/>
        </w:rPr>
        <w:t xml:space="preserve"> </w:t>
      </w:r>
      <w:r w:rsidRPr="00A55D98">
        <w:rPr>
          <w:rFonts w:ascii="Times New Roman" w:hAnsi="Times New Roman" w:cs="Times New Roman"/>
          <w:b/>
          <w:bCs/>
          <w:sz w:val="28"/>
          <w:szCs w:val="28"/>
        </w:rPr>
        <w:t xml:space="preserve">Baccalaureate </w:t>
      </w:r>
    </w:p>
    <w:p w14:paraId="11A75734" w14:textId="77777777" w:rsidR="00A138AD" w:rsidRPr="00A55D98" w:rsidRDefault="00000000" w:rsidP="00A55D98">
      <w:pPr>
        <w:pStyle w:val="Heading1"/>
        <w:pBdr>
          <w:bottom w:val="none" w:sz="0" w:space="0" w:color="auto"/>
        </w:pBdr>
        <w:rPr>
          <w:rFonts w:ascii="Times New Roman" w:hAnsi="Times New Roman" w:cs="Times New Roman"/>
          <w:color w:val="auto"/>
        </w:rPr>
      </w:pPr>
      <w:r w:rsidRPr="00A55D98">
        <w:rPr>
          <w:rFonts w:ascii="Times New Roman" w:hAnsi="Times New Roman" w:cs="Times New Roman"/>
          <w:color w:val="auto"/>
        </w:rPr>
        <w:t>1. Data &amp; Methodology</w:t>
      </w:r>
    </w:p>
    <w:p w14:paraId="5BC926DA" w14:textId="77777777" w:rsidR="00A138AD" w:rsidRPr="00A55D98" w:rsidRDefault="00000000" w:rsidP="00A55D98">
      <w:pPr>
        <w:spacing w:after="160"/>
        <w:jc w:val="both"/>
        <w:rPr>
          <w:rFonts w:ascii="Times New Roman" w:hAnsi="Times New Roman" w:cs="Times New Roman"/>
        </w:rPr>
      </w:pPr>
      <w:r w:rsidRPr="00A55D98">
        <w:rPr>
          <w:rFonts w:ascii="Times New Roman" w:hAnsi="Times New Roman" w:cs="Times New Roman"/>
        </w:rPr>
        <w:t xml:space="preserve">This analysis used IPEDS data including </w:t>
      </w:r>
      <w:proofErr w:type="gramStart"/>
      <w:r w:rsidRPr="00A55D98">
        <w:rPr>
          <w:rFonts w:ascii="Times New Roman" w:hAnsi="Times New Roman" w:cs="Times New Roman"/>
        </w:rPr>
        <w:t>the Graduation</w:t>
      </w:r>
      <w:proofErr w:type="gramEnd"/>
      <w:r w:rsidRPr="00A55D98">
        <w:rPr>
          <w:rFonts w:ascii="Times New Roman" w:hAnsi="Times New Roman" w:cs="Times New Roman"/>
        </w:rPr>
        <w:t>, Graduation Extended, Characteristics, Tuition and Costs, and Salaries datasets. The outcome variable is the proportion of students completing a baccalaureate degree within 150% of normal time (</w:t>
      </w:r>
      <w:proofErr w:type="spellStart"/>
      <w:r w:rsidRPr="00A55D98">
        <w:rPr>
          <w:rFonts w:ascii="Times New Roman" w:hAnsi="Times New Roman" w:cs="Times New Roman"/>
        </w:rPr>
        <w:t>GradRate</w:t>
      </w:r>
      <w:proofErr w:type="spellEnd"/>
      <w:r w:rsidRPr="00A55D98">
        <w:rPr>
          <w:rFonts w:ascii="Times New Roman" w:hAnsi="Times New Roman" w:cs="Times New Roman"/>
        </w:rPr>
        <w:t>). The analysis is restricted to institutions with an incoming cohort of at least 200 students as specified in the project requirements. Because the outcome variable measures baccalaureate degree completion, the analysis was further restricted to degree-granting institutions at the four-year level (</w:t>
      </w:r>
      <w:proofErr w:type="spellStart"/>
      <w:r w:rsidRPr="00A55D98">
        <w:rPr>
          <w:rFonts w:ascii="Times New Roman" w:hAnsi="Times New Roman" w:cs="Times New Roman"/>
        </w:rPr>
        <w:t>iclevel</w:t>
      </w:r>
      <w:proofErr w:type="spellEnd"/>
      <w:r w:rsidRPr="00A55D98">
        <w:rPr>
          <w:rFonts w:ascii="Times New Roman" w:hAnsi="Times New Roman" w:cs="Times New Roman"/>
        </w:rPr>
        <w:t xml:space="preserve"> = 1), as two-year and less-than-two-year institutions do not award bachelor's degrees and therefore do not report a meaningful 150% graduation rate for baccalaureate programs. These filters together yielded an initial sample of 1,262 institutions. After accounting for missing values across predictor variables, 835 institutions were used in model estimation.</w:t>
      </w:r>
    </w:p>
    <w:p w14:paraId="4EE4658B" w14:textId="77777777" w:rsidR="00A138AD" w:rsidRPr="00A55D98" w:rsidRDefault="00A138AD">
      <w:pPr>
        <w:spacing w:after="80"/>
        <w:rPr>
          <w:rFonts w:ascii="Times New Roman" w:hAnsi="Times New Roman" w:cs="Times New Roman"/>
        </w:rPr>
      </w:pPr>
    </w:p>
    <w:p w14:paraId="2B185200" w14:textId="77777777" w:rsidR="00A138AD" w:rsidRPr="00A55D98" w:rsidRDefault="00000000">
      <w:pPr>
        <w:spacing w:after="160"/>
        <w:rPr>
          <w:rFonts w:ascii="Times New Roman" w:hAnsi="Times New Roman" w:cs="Times New Roman"/>
        </w:rPr>
      </w:pPr>
      <w:r w:rsidRPr="00A55D98">
        <w:rPr>
          <w:rFonts w:ascii="Times New Roman" w:hAnsi="Times New Roman" w:cs="Times New Roman"/>
        </w:rPr>
        <w:t>Candidate predictors were drawn from all five datasets and included institutional characteristics (control, highest level of offering, urbanization level, institutional category), individual race/ethnicity counts in the incoming cohort (White, African American, Asian, Hispanic, Multi-race, Other, Unknown), gender composition (Men, Women), total instructional staff, student-faculty ratio, and detailed tuition and cost components (in-state tuition, in-state fees, out-of-state tuition, out-of-state fees, room cost, board cost).</w:t>
      </w:r>
    </w:p>
    <w:p w14:paraId="5F0E8EEF" w14:textId="77777777" w:rsidR="00A138AD" w:rsidRPr="00A55D98" w:rsidRDefault="00A138AD">
      <w:pPr>
        <w:spacing w:after="80"/>
        <w:rPr>
          <w:rFonts w:ascii="Times New Roman" w:hAnsi="Times New Roman" w:cs="Times New Roman"/>
        </w:rPr>
      </w:pPr>
    </w:p>
    <w:p w14:paraId="4C8E44DC" w14:textId="77777777" w:rsidR="00A138AD" w:rsidRPr="00A55D98" w:rsidRDefault="00000000" w:rsidP="00A55D98">
      <w:pPr>
        <w:pStyle w:val="Heading1"/>
        <w:pBdr>
          <w:bottom w:val="none" w:sz="0" w:space="0" w:color="auto"/>
        </w:pBdr>
        <w:rPr>
          <w:rFonts w:ascii="Times New Roman" w:hAnsi="Times New Roman" w:cs="Times New Roman"/>
          <w:color w:val="auto"/>
        </w:rPr>
      </w:pPr>
      <w:r w:rsidRPr="00A55D98">
        <w:rPr>
          <w:rFonts w:ascii="Times New Roman" w:hAnsi="Times New Roman" w:cs="Times New Roman"/>
          <w:color w:val="auto"/>
        </w:rPr>
        <w:t>2. Model Selection Process</w:t>
      </w:r>
    </w:p>
    <w:p w14:paraId="08F48431" w14:textId="77777777" w:rsidR="00A138AD" w:rsidRPr="00A55D98" w:rsidRDefault="00000000">
      <w:pPr>
        <w:spacing w:after="160"/>
        <w:rPr>
          <w:rFonts w:ascii="Times New Roman" w:hAnsi="Times New Roman" w:cs="Times New Roman"/>
        </w:rPr>
      </w:pPr>
      <w:r w:rsidRPr="00A55D98">
        <w:rPr>
          <w:rFonts w:ascii="Times New Roman" w:hAnsi="Times New Roman" w:cs="Times New Roman"/>
        </w:rPr>
        <w:t>Five model selection runs were conducted using PROC GLMSELECT in SAS, varying the method and criterion to assess the robustness of variable selection. Table 1 summarizes all runs.</w:t>
      </w:r>
    </w:p>
    <w:p w14:paraId="277FFE3B" w14:textId="77777777" w:rsidR="00A138AD" w:rsidRPr="00A55D98" w:rsidRDefault="00A138AD">
      <w:pPr>
        <w:spacing w:after="80"/>
        <w:rPr>
          <w:rFonts w:ascii="Times New Roman" w:hAnsi="Times New Roman" w:cs="Times New Roman"/>
        </w:rPr>
      </w:pPr>
    </w:p>
    <w:p w14:paraId="7448DA46" w14:textId="77777777" w:rsidR="00A138AD" w:rsidRPr="00A55D98" w:rsidRDefault="00000000">
      <w:pPr>
        <w:spacing w:after="80"/>
        <w:rPr>
          <w:rFonts w:ascii="Times New Roman" w:hAnsi="Times New Roman" w:cs="Times New Roman"/>
        </w:rPr>
      </w:pPr>
      <w:r w:rsidRPr="00A55D98">
        <w:rPr>
          <w:rFonts w:ascii="Times New Roman" w:hAnsi="Times New Roman" w:cs="Times New Roman"/>
          <w:b/>
          <w:bCs/>
          <w:sz w:val="20"/>
          <w:szCs w:val="20"/>
        </w:rPr>
        <w:t>Table 1. Model Selection Run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330"/>
        <w:gridCol w:w="1108"/>
        <w:gridCol w:w="1108"/>
        <w:gridCol w:w="1330"/>
        <w:gridCol w:w="1330"/>
        <w:gridCol w:w="886"/>
        <w:gridCol w:w="975"/>
        <w:gridCol w:w="621"/>
      </w:tblGrid>
      <w:tr w:rsidR="00A138AD" w:rsidRPr="00A55D98" w14:paraId="333E0C1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EA9C27"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Run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754D3A"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20615E"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Select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442EEF"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Choose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C97439"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Entry/Stay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7C69AE"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Steps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EEE9D2"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Vars</w:t>
            </w:r>
          </w:p>
        </w:tc>
        <w:tc>
          <w:tcPr>
            <w:tcW w:w="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8CCAD6"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Adj R²</w:t>
            </w:r>
          </w:p>
        </w:tc>
        <w:tc>
          <w:tcPr>
            <w:tcW w:w="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4E4F1F"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N</w:t>
            </w:r>
          </w:p>
        </w:tc>
      </w:tr>
      <w:tr w:rsidR="00A138AD" w:rsidRPr="00A55D98" w14:paraId="2EA7596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382AF"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95EB8"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Forward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3AF74"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SBC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EE3AA"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SBC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A12A"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88C6"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D677"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10</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A7876"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0.7287</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098D"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835</w:t>
            </w:r>
          </w:p>
        </w:tc>
      </w:tr>
      <w:tr w:rsidR="00A138AD" w:rsidRPr="00A55D98" w14:paraId="7C5A255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D0BC5"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9787B"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Stepwise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FE072"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2667B"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225A32"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0.15/0.15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AFE04"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FAEB9"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14</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EF627"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0.7345</w:t>
            </w:r>
          </w:p>
        </w:tc>
        <w:tc>
          <w:tcPr>
            <w:tcW w:w="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61540"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835</w:t>
            </w:r>
          </w:p>
        </w:tc>
      </w:tr>
      <w:tr w:rsidR="00A138AD" w:rsidRPr="00A55D98" w14:paraId="50A5362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78CCB"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109E9"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Stepwise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5F207"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F432"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F1387"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0.05/0.05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1B80"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4E846"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13</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990D"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0.7332</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567A"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835</w:t>
            </w:r>
          </w:p>
        </w:tc>
      </w:tr>
      <w:tr w:rsidR="00A138AD" w:rsidRPr="00A55D98" w14:paraId="7131719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A3F1E"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44568"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Stepwise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762A7"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SL</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05929"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SBC</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97874"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0.8/0.8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EA5AC"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19→Step 10</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6A5C8"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10</w:t>
            </w:r>
          </w:p>
        </w:tc>
        <w:tc>
          <w:tcPr>
            <w:tcW w:w="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2AB85"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0.7287</w:t>
            </w:r>
          </w:p>
        </w:tc>
        <w:tc>
          <w:tcPr>
            <w:tcW w:w="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ADA32"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835</w:t>
            </w:r>
          </w:p>
        </w:tc>
      </w:tr>
      <w:tr w:rsidR="00A138AD" w:rsidRPr="00A55D98" w14:paraId="0C288EA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F0433"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0CC4D"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Stepwise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9384"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AIC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1E38"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AIC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406E"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9FFE"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998F"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14</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C4F5"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0.7345</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EC2E"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835</w:t>
            </w:r>
          </w:p>
        </w:tc>
      </w:tr>
    </w:tbl>
    <w:p w14:paraId="0AF4A23D" w14:textId="77777777" w:rsidR="00A138AD" w:rsidRPr="00A55D98" w:rsidRDefault="00A138AD">
      <w:pPr>
        <w:spacing w:after="80"/>
        <w:rPr>
          <w:rFonts w:ascii="Times New Roman" w:hAnsi="Times New Roman" w:cs="Times New Roman"/>
        </w:rPr>
      </w:pPr>
    </w:p>
    <w:p w14:paraId="6600B947" w14:textId="77777777" w:rsidR="00A138AD" w:rsidRPr="00A55D98" w:rsidRDefault="00000000">
      <w:pPr>
        <w:spacing w:after="160"/>
        <w:rPr>
          <w:rFonts w:ascii="Times New Roman" w:hAnsi="Times New Roman" w:cs="Times New Roman"/>
        </w:rPr>
      </w:pPr>
      <w:r w:rsidRPr="00A55D98">
        <w:rPr>
          <w:rFonts w:ascii="Times New Roman" w:hAnsi="Times New Roman" w:cs="Times New Roman"/>
        </w:rPr>
        <w:t xml:space="preserve">Three candidate models emerged from the selection process. Model A (10 variables, </w:t>
      </w:r>
      <w:proofErr w:type="gramStart"/>
      <w:r w:rsidRPr="00A55D98">
        <w:rPr>
          <w:rFonts w:ascii="Times New Roman" w:hAnsi="Times New Roman" w:cs="Times New Roman"/>
        </w:rPr>
        <w:t>Runs</w:t>
      </w:r>
      <w:proofErr w:type="gramEnd"/>
      <w:r w:rsidRPr="00A55D98">
        <w:rPr>
          <w:rFonts w:ascii="Times New Roman" w:hAnsi="Times New Roman" w:cs="Times New Roman"/>
        </w:rPr>
        <w:t xml:space="preserve"> 1 and 4) excludes control, </w:t>
      </w:r>
      <w:proofErr w:type="spellStart"/>
      <w:r w:rsidRPr="00A55D98">
        <w:rPr>
          <w:rFonts w:ascii="Times New Roman" w:hAnsi="Times New Roman" w:cs="Times New Roman"/>
        </w:rPr>
        <w:t>African_American</w:t>
      </w:r>
      <w:proofErr w:type="spellEnd"/>
      <w:r w:rsidRPr="00A55D98">
        <w:rPr>
          <w:rFonts w:ascii="Times New Roman" w:hAnsi="Times New Roman" w:cs="Times New Roman"/>
        </w:rPr>
        <w:t xml:space="preserve">, </w:t>
      </w:r>
      <w:proofErr w:type="spellStart"/>
      <w:proofErr w:type="gramStart"/>
      <w:r w:rsidRPr="00A55D98">
        <w:rPr>
          <w:rFonts w:ascii="Times New Roman" w:hAnsi="Times New Roman" w:cs="Times New Roman"/>
        </w:rPr>
        <w:t>In</w:t>
      </w:r>
      <w:proofErr w:type="gramEnd"/>
      <w:r w:rsidRPr="00A55D98">
        <w:rPr>
          <w:rFonts w:ascii="Times New Roman" w:hAnsi="Times New Roman" w:cs="Times New Roman"/>
        </w:rPr>
        <w:t>_State_Tuition</w:t>
      </w:r>
      <w:proofErr w:type="spellEnd"/>
      <w:r w:rsidRPr="00A55D98">
        <w:rPr>
          <w:rFonts w:ascii="Times New Roman" w:hAnsi="Times New Roman" w:cs="Times New Roman"/>
        </w:rPr>
        <w:t xml:space="preserve">, and </w:t>
      </w:r>
      <w:proofErr w:type="spellStart"/>
      <w:r w:rsidRPr="00A55D98">
        <w:rPr>
          <w:rFonts w:ascii="Times New Roman" w:hAnsi="Times New Roman" w:cs="Times New Roman"/>
        </w:rPr>
        <w:t>Fee_InState</w:t>
      </w:r>
      <w:proofErr w:type="spellEnd"/>
      <w:r w:rsidRPr="00A55D98">
        <w:rPr>
          <w:rFonts w:ascii="Times New Roman" w:hAnsi="Times New Roman" w:cs="Times New Roman"/>
        </w:rPr>
        <w:t xml:space="preserve"> but includes </w:t>
      </w:r>
      <w:proofErr w:type="spellStart"/>
      <w:r w:rsidRPr="00A55D98">
        <w:rPr>
          <w:rFonts w:ascii="Times New Roman" w:hAnsi="Times New Roman" w:cs="Times New Roman"/>
        </w:rPr>
        <w:t>Fee_OutState</w:t>
      </w:r>
      <w:proofErr w:type="spellEnd"/>
      <w:r w:rsidRPr="00A55D98">
        <w:rPr>
          <w:rFonts w:ascii="Times New Roman" w:hAnsi="Times New Roman" w:cs="Times New Roman"/>
        </w:rPr>
        <w:t xml:space="preserve">. Model B (14 variables, </w:t>
      </w:r>
      <w:proofErr w:type="gramStart"/>
      <w:r w:rsidRPr="00A55D98">
        <w:rPr>
          <w:rFonts w:ascii="Times New Roman" w:hAnsi="Times New Roman" w:cs="Times New Roman"/>
        </w:rPr>
        <w:t>Runs</w:t>
      </w:r>
      <w:proofErr w:type="gramEnd"/>
      <w:r w:rsidRPr="00A55D98">
        <w:rPr>
          <w:rFonts w:ascii="Times New Roman" w:hAnsi="Times New Roman" w:cs="Times New Roman"/>
        </w:rPr>
        <w:t xml:space="preserve"> 2 and 5) includes control, </w:t>
      </w:r>
      <w:proofErr w:type="spellStart"/>
      <w:r w:rsidRPr="00A55D98">
        <w:rPr>
          <w:rFonts w:ascii="Times New Roman" w:hAnsi="Times New Roman" w:cs="Times New Roman"/>
        </w:rPr>
        <w:t>African_American</w:t>
      </w:r>
      <w:proofErr w:type="spellEnd"/>
      <w:r w:rsidRPr="00A55D98">
        <w:rPr>
          <w:rFonts w:ascii="Times New Roman" w:hAnsi="Times New Roman" w:cs="Times New Roman"/>
        </w:rPr>
        <w:t xml:space="preserve">, </w:t>
      </w:r>
      <w:proofErr w:type="spellStart"/>
      <w:proofErr w:type="gramStart"/>
      <w:r w:rsidRPr="00A55D98">
        <w:rPr>
          <w:rFonts w:ascii="Times New Roman" w:hAnsi="Times New Roman" w:cs="Times New Roman"/>
        </w:rPr>
        <w:t>In</w:t>
      </w:r>
      <w:proofErr w:type="gramEnd"/>
      <w:r w:rsidRPr="00A55D98">
        <w:rPr>
          <w:rFonts w:ascii="Times New Roman" w:hAnsi="Times New Roman" w:cs="Times New Roman"/>
        </w:rPr>
        <w:t>_State_Tuition</w:t>
      </w:r>
      <w:proofErr w:type="spellEnd"/>
      <w:r w:rsidRPr="00A55D98">
        <w:rPr>
          <w:rFonts w:ascii="Times New Roman" w:hAnsi="Times New Roman" w:cs="Times New Roman"/>
        </w:rPr>
        <w:t xml:space="preserve">, and </w:t>
      </w:r>
      <w:proofErr w:type="spellStart"/>
      <w:r w:rsidRPr="00A55D98">
        <w:rPr>
          <w:rFonts w:ascii="Times New Roman" w:hAnsi="Times New Roman" w:cs="Times New Roman"/>
        </w:rPr>
        <w:t>Fee_InState</w:t>
      </w:r>
      <w:proofErr w:type="spellEnd"/>
      <w:r w:rsidRPr="00A55D98">
        <w:rPr>
          <w:rFonts w:ascii="Times New Roman" w:hAnsi="Times New Roman" w:cs="Times New Roman"/>
        </w:rPr>
        <w:t xml:space="preserve"> but excludes </w:t>
      </w:r>
      <w:proofErr w:type="spellStart"/>
      <w:r w:rsidRPr="00A55D98">
        <w:rPr>
          <w:rFonts w:ascii="Times New Roman" w:hAnsi="Times New Roman" w:cs="Times New Roman"/>
        </w:rPr>
        <w:t>Fee_OutState</w:t>
      </w:r>
      <w:proofErr w:type="spellEnd"/>
      <w:r w:rsidRPr="00A55D98">
        <w:rPr>
          <w:rFonts w:ascii="Times New Roman" w:hAnsi="Times New Roman" w:cs="Times New Roman"/>
        </w:rPr>
        <w:t xml:space="preserve">. Model C (13 variables, </w:t>
      </w:r>
      <w:proofErr w:type="gramStart"/>
      <w:r w:rsidRPr="00A55D98">
        <w:rPr>
          <w:rFonts w:ascii="Times New Roman" w:hAnsi="Times New Roman" w:cs="Times New Roman"/>
        </w:rPr>
        <w:t>Run</w:t>
      </w:r>
      <w:proofErr w:type="gramEnd"/>
      <w:r w:rsidRPr="00A55D98">
        <w:rPr>
          <w:rFonts w:ascii="Times New Roman" w:hAnsi="Times New Roman" w:cs="Times New Roman"/>
        </w:rPr>
        <w:t xml:space="preserve"> 3) is a middle ground that includes control and in-state costs but excludes </w:t>
      </w:r>
      <w:proofErr w:type="spellStart"/>
      <w:r w:rsidRPr="00A55D98">
        <w:rPr>
          <w:rFonts w:ascii="Times New Roman" w:hAnsi="Times New Roman" w:cs="Times New Roman"/>
        </w:rPr>
        <w:t>African_American</w:t>
      </w:r>
      <w:proofErr w:type="spellEnd"/>
      <w:r w:rsidRPr="00A55D98">
        <w:rPr>
          <w:rFonts w:ascii="Times New Roman" w:hAnsi="Times New Roman" w:cs="Times New Roman"/>
        </w:rPr>
        <w:t xml:space="preserve"> and </w:t>
      </w:r>
      <w:proofErr w:type="spellStart"/>
      <w:r w:rsidRPr="00A55D98">
        <w:rPr>
          <w:rFonts w:ascii="Times New Roman" w:hAnsi="Times New Roman" w:cs="Times New Roman"/>
        </w:rPr>
        <w:t>Fee_InState</w:t>
      </w:r>
      <w:proofErr w:type="spellEnd"/>
      <w:r w:rsidRPr="00A55D98">
        <w:rPr>
          <w:rFonts w:ascii="Times New Roman" w:hAnsi="Times New Roman" w:cs="Times New Roman"/>
        </w:rPr>
        <w:t xml:space="preserve">. Variables not selected in any run include </w:t>
      </w:r>
      <w:proofErr w:type="spellStart"/>
      <w:r w:rsidRPr="00A55D98">
        <w:rPr>
          <w:rFonts w:ascii="Times New Roman" w:hAnsi="Times New Roman" w:cs="Times New Roman"/>
        </w:rPr>
        <w:t>hloffer</w:t>
      </w:r>
      <w:proofErr w:type="spellEnd"/>
      <w:r w:rsidRPr="00A55D98">
        <w:rPr>
          <w:rFonts w:ascii="Times New Roman" w:hAnsi="Times New Roman" w:cs="Times New Roman"/>
        </w:rPr>
        <w:t xml:space="preserve">, locale, </w:t>
      </w:r>
      <w:proofErr w:type="spellStart"/>
      <w:r w:rsidRPr="00A55D98">
        <w:rPr>
          <w:rFonts w:ascii="Times New Roman" w:hAnsi="Times New Roman" w:cs="Times New Roman"/>
        </w:rPr>
        <w:t>iclevel</w:t>
      </w:r>
      <w:proofErr w:type="spellEnd"/>
      <w:r w:rsidRPr="00A55D98">
        <w:rPr>
          <w:rFonts w:ascii="Times New Roman" w:hAnsi="Times New Roman" w:cs="Times New Roman"/>
        </w:rPr>
        <w:t xml:space="preserve"> (single level after filter), </w:t>
      </w:r>
      <w:proofErr w:type="spellStart"/>
      <w:r w:rsidRPr="00A55D98">
        <w:rPr>
          <w:rFonts w:ascii="Times New Roman" w:hAnsi="Times New Roman" w:cs="Times New Roman"/>
        </w:rPr>
        <w:t>instcat</w:t>
      </w:r>
      <w:proofErr w:type="spellEnd"/>
      <w:r w:rsidRPr="00A55D98">
        <w:rPr>
          <w:rFonts w:ascii="Times New Roman" w:hAnsi="Times New Roman" w:cs="Times New Roman"/>
        </w:rPr>
        <w:t xml:space="preserve">, </w:t>
      </w:r>
      <w:proofErr w:type="spellStart"/>
      <w:r w:rsidRPr="00A55D98">
        <w:rPr>
          <w:rFonts w:ascii="Times New Roman" w:hAnsi="Times New Roman" w:cs="Times New Roman"/>
        </w:rPr>
        <w:t>Student_Faculty_Ratio</w:t>
      </w:r>
      <w:proofErr w:type="spellEnd"/>
      <w:r w:rsidRPr="00A55D98">
        <w:rPr>
          <w:rFonts w:ascii="Times New Roman" w:hAnsi="Times New Roman" w:cs="Times New Roman"/>
        </w:rPr>
        <w:t xml:space="preserve">, </w:t>
      </w:r>
      <w:proofErr w:type="spellStart"/>
      <w:r w:rsidRPr="00A55D98">
        <w:rPr>
          <w:rFonts w:ascii="Times New Roman" w:hAnsi="Times New Roman" w:cs="Times New Roman"/>
        </w:rPr>
        <w:t>Multi_Race</w:t>
      </w:r>
      <w:proofErr w:type="spellEnd"/>
      <w:r w:rsidRPr="00A55D98">
        <w:rPr>
          <w:rFonts w:ascii="Times New Roman" w:hAnsi="Times New Roman" w:cs="Times New Roman"/>
        </w:rPr>
        <w:t xml:space="preserve">, </w:t>
      </w:r>
      <w:proofErr w:type="spellStart"/>
      <w:r w:rsidRPr="00A55D98">
        <w:rPr>
          <w:rFonts w:ascii="Times New Roman" w:hAnsi="Times New Roman" w:cs="Times New Roman"/>
        </w:rPr>
        <w:t>Race_Other</w:t>
      </w:r>
      <w:proofErr w:type="spellEnd"/>
      <w:r w:rsidRPr="00A55D98">
        <w:rPr>
          <w:rFonts w:ascii="Times New Roman" w:hAnsi="Times New Roman" w:cs="Times New Roman"/>
        </w:rPr>
        <w:t xml:space="preserve">, and </w:t>
      </w:r>
      <w:proofErr w:type="spellStart"/>
      <w:r w:rsidRPr="00A55D98">
        <w:rPr>
          <w:rFonts w:ascii="Times New Roman" w:hAnsi="Times New Roman" w:cs="Times New Roman"/>
        </w:rPr>
        <w:t>Race_Unknown</w:t>
      </w:r>
      <w:proofErr w:type="spellEnd"/>
      <w:r w:rsidRPr="00A55D98">
        <w:rPr>
          <w:rFonts w:ascii="Times New Roman" w:hAnsi="Times New Roman" w:cs="Times New Roman"/>
        </w:rPr>
        <w:t>.</w:t>
      </w:r>
    </w:p>
    <w:p w14:paraId="44D0BEB2" w14:textId="77777777" w:rsidR="00A138AD" w:rsidRPr="00A55D98" w:rsidRDefault="00A138AD">
      <w:pPr>
        <w:spacing w:after="80"/>
        <w:rPr>
          <w:rFonts w:ascii="Times New Roman" w:hAnsi="Times New Roman" w:cs="Times New Roman"/>
        </w:rPr>
      </w:pPr>
    </w:p>
    <w:p w14:paraId="17308DB4" w14:textId="77777777" w:rsidR="00A138AD" w:rsidRPr="00A55D98" w:rsidRDefault="00000000">
      <w:pPr>
        <w:spacing w:after="160"/>
        <w:rPr>
          <w:rFonts w:ascii="Times New Roman" w:hAnsi="Times New Roman" w:cs="Times New Roman"/>
        </w:rPr>
      </w:pPr>
      <w:r w:rsidRPr="00A55D98">
        <w:rPr>
          <w:rFonts w:ascii="Times New Roman" w:hAnsi="Times New Roman" w:cs="Times New Roman"/>
        </w:rPr>
        <w:lastRenderedPageBreak/>
        <w:t>Model B was selected as the final model. Two of five runs using different criteria (SL=0.15 and AIC) independently agreed on the same 14-variable model. It achieves the best AIC (-3234.17) and Adj R² (0.7345). All 14 variables in the model are statistically significant. The SBC difference between Model A and Model B is only 4.97 units, which is not practically meaningful enough to justify excluding four significant predictors including institutional control type.</w:t>
      </w:r>
    </w:p>
    <w:p w14:paraId="3CB90077" w14:textId="77777777" w:rsidR="00A138AD" w:rsidRPr="00A55D98" w:rsidRDefault="00A138AD">
      <w:pPr>
        <w:spacing w:after="80"/>
        <w:rPr>
          <w:rFonts w:ascii="Times New Roman" w:hAnsi="Times New Roman" w:cs="Times New Roman"/>
        </w:rPr>
      </w:pPr>
    </w:p>
    <w:p w14:paraId="2053B969" w14:textId="77777777" w:rsidR="00A138AD" w:rsidRPr="00A55D98" w:rsidRDefault="00000000" w:rsidP="00A55D98">
      <w:pPr>
        <w:pStyle w:val="Heading1"/>
        <w:pBdr>
          <w:bottom w:val="none" w:sz="0" w:space="0" w:color="auto"/>
        </w:pBdr>
        <w:rPr>
          <w:rFonts w:ascii="Times New Roman" w:hAnsi="Times New Roman" w:cs="Times New Roman"/>
          <w:color w:val="auto"/>
        </w:rPr>
      </w:pPr>
      <w:r w:rsidRPr="00A55D98">
        <w:rPr>
          <w:rFonts w:ascii="Times New Roman" w:hAnsi="Times New Roman" w:cs="Times New Roman"/>
          <w:color w:val="auto"/>
        </w:rPr>
        <w:t>3. Final Model Results</w:t>
      </w:r>
    </w:p>
    <w:p w14:paraId="46FCC55D" w14:textId="77777777" w:rsidR="00A138AD" w:rsidRPr="00A55D98" w:rsidRDefault="00000000">
      <w:pPr>
        <w:spacing w:after="160"/>
        <w:rPr>
          <w:rFonts w:ascii="Times New Roman" w:hAnsi="Times New Roman" w:cs="Times New Roman"/>
        </w:rPr>
      </w:pPr>
      <w:r w:rsidRPr="00A55D98">
        <w:rPr>
          <w:rFonts w:ascii="Times New Roman" w:hAnsi="Times New Roman" w:cs="Times New Roman"/>
        </w:rPr>
        <w:t xml:space="preserve">The final model includes 14 predictors and was estimated </w:t>
      </w:r>
      <w:proofErr w:type="gramStart"/>
      <w:r w:rsidRPr="00A55D98">
        <w:rPr>
          <w:rFonts w:ascii="Times New Roman" w:hAnsi="Times New Roman" w:cs="Times New Roman"/>
        </w:rPr>
        <w:t>on</w:t>
      </w:r>
      <w:proofErr w:type="gramEnd"/>
      <w:r w:rsidRPr="00A55D98">
        <w:rPr>
          <w:rFonts w:ascii="Times New Roman" w:hAnsi="Times New Roman" w:cs="Times New Roman"/>
        </w:rPr>
        <w:t xml:space="preserve"> 835 institutions. It explains approximately 73.9% of the variation in graduation rates (R² = 0.7389, Adj R² = 0.7345, Root MSE = 0.087). Table 2 presents the fit statistics.</w:t>
      </w:r>
    </w:p>
    <w:p w14:paraId="6A2C60EA" w14:textId="77777777" w:rsidR="00A138AD" w:rsidRPr="00A55D98" w:rsidRDefault="00A138AD">
      <w:pPr>
        <w:spacing w:after="80"/>
        <w:rPr>
          <w:rFonts w:ascii="Times New Roman" w:hAnsi="Times New Roman" w:cs="Times New Roman"/>
        </w:rPr>
      </w:pPr>
    </w:p>
    <w:p w14:paraId="438EF2EF" w14:textId="77777777" w:rsidR="00A138AD" w:rsidRPr="00A55D98" w:rsidRDefault="00000000">
      <w:pPr>
        <w:spacing w:after="80"/>
        <w:rPr>
          <w:rFonts w:ascii="Times New Roman" w:hAnsi="Times New Roman" w:cs="Times New Roman"/>
        </w:rPr>
      </w:pPr>
      <w:r w:rsidRPr="00A55D98">
        <w:rPr>
          <w:rFonts w:ascii="Times New Roman" w:hAnsi="Times New Roman" w:cs="Times New Roman"/>
          <w:b/>
          <w:bCs/>
          <w:sz w:val="20"/>
          <w:szCs w:val="20"/>
        </w:rPr>
        <w:t xml:space="preserve">Table 2. Final </w:t>
      </w:r>
      <w:r w:rsidRPr="00A55D98">
        <w:rPr>
          <w:rFonts w:ascii="Times New Roman" w:hAnsi="Times New Roman" w:cs="Times New Roman"/>
          <w:b/>
          <w:bCs/>
          <w:color w:val="000000" w:themeColor="text1"/>
          <w:sz w:val="20"/>
          <w:szCs w:val="20"/>
        </w:rPr>
        <w:t xml:space="preserve">Model </w:t>
      </w:r>
      <w:r w:rsidRPr="00A55D98">
        <w:rPr>
          <w:rFonts w:ascii="Times New Roman" w:hAnsi="Times New Roman" w:cs="Times New Roman"/>
          <w:b/>
          <w:bCs/>
          <w:sz w:val="20"/>
          <w:szCs w:val="20"/>
        </w:rPr>
        <w:t>Fit Statistics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A138AD" w:rsidRPr="00A55D98" w14:paraId="77C756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0A9350"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Statistic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C251C2" w14:textId="77777777" w:rsidR="00A138AD" w:rsidRPr="00A55D98" w:rsidRDefault="00000000">
            <w:pPr>
              <w:jc w:val="center"/>
              <w:rPr>
                <w:rFonts w:ascii="Times New Roman" w:hAnsi="Times New Roman" w:cs="Times New Roman"/>
              </w:rPr>
            </w:pPr>
            <w:r w:rsidRPr="00A55D98">
              <w:rPr>
                <w:rFonts w:ascii="Times New Roman" w:hAnsi="Times New Roman" w:cs="Times New Roman"/>
                <w:b/>
                <w:bCs/>
                <w:color w:val="FFFFFF"/>
                <w:sz w:val="20"/>
                <w:szCs w:val="20"/>
              </w:rPr>
              <w:t>Value</w:t>
            </w:r>
          </w:p>
        </w:tc>
      </w:tr>
      <w:tr w:rsidR="00A138AD" w:rsidRPr="00A55D98" w14:paraId="50B579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4F46"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Observations Used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EF00"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835</w:t>
            </w:r>
          </w:p>
        </w:tc>
      </w:tr>
      <w:tr w:rsidR="00A138AD" w:rsidRPr="00A55D98" w14:paraId="1BF539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EFDD9"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R-Square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D4D25"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0.7389</w:t>
            </w:r>
          </w:p>
        </w:tc>
      </w:tr>
      <w:tr w:rsidR="00A138AD" w:rsidRPr="00A55D98" w14:paraId="5F7F70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400F1"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Adjusted R-Square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E0C2"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0.7345</w:t>
            </w:r>
          </w:p>
        </w:tc>
      </w:tr>
      <w:tr w:rsidR="00A138AD" w:rsidRPr="00A55D98" w14:paraId="7F3D71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AB369"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AIC</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19351"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-3234.17</w:t>
            </w:r>
          </w:p>
        </w:tc>
      </w:tr>
      <w:tr w:rsidR="00A138AD" w:rsidRPr="00A55D98" w14:paraId="750255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7ED6"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SBC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9C25E"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-4000.26</w:t>
            </w:r>
          </w:p>
        </w:tc>
      </w:tr>
      <w:tr w:rsidR="00A138AD" w:rsidRPr="00A55D98" w14:paraId="45AFBF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6833D"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Root MSE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05B2F9"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0.08658</w:t>
            </w:r>
          </w:p>
        </w:tc>
      </w:tr>
      <w:tr w:rsidR="00A138AD" w:rsidRPr="00A55D98" w14:paraId="7272C7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DE04" w14:textId="77777777" w:rsidR="00A138AD" w:rsidRPr="00A55D98" w:rsidRDefault="00000000">
            <w:pPr>
              <w:rPr>
                <w:rFonts w:ascii="Times New Roman" w:hAnsi="Times New Roman" w:cs="Times New Roman"/>
              </w:rPr>
            </w:pPr>
            <w:r w:rsidRPr="00A55D98">
              <w:rPr>
                <w:rFonts w:ascii="Times New Roman" w:hAnsi="Times New Roman" w:cs="Times New Roman"/>
                <w:b/>
                <w:bCs/>
                <w:sz w:val="20"/>
                <w:szCs w:val="20"/>
              </w:rPr>
              <w:t>Mean Graduation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DF98" w14:textId="77777777" w:rsidR="00A138AD" w:rsidRPr="00A55D98" w:rsidRDefault="00000000">
            <w:pPr>
              <w:rPr>
                <w:rFonts w:ascii="Times New Roman" w:hAnsi="Times New Roman" w:cs="Times New Roman"/>
              </w:rPr>
            </w:pPr>
            <w:r w:rsidRPr="00A55D98">
              <w:rPr>
                <w:rFonts w:ascii="Times New Roman" w:hAnsi="Times New Roman" w:cs="Times New Roman"/>
                <w:sz w:val="20"/>
                <w:szCs w:val="20"/>
              </w:rPr>
              <w:t>0.6157</w:t>
            </w:r>
          </w:p>
        </w:tc>
      </w:tr>
    </w:tbl>
    <w:p w14:paraId="385C5EF4" w14:textId="77777777" w:rsidR="00A138AD" w:rsidRPr="00A55D98" w:rsidRDefault="00A138AD">
      <w:pPr>
        <w:spacing w:after="80"/>
        <w:rPr>
          <w:rFonts w:ascii="Times New Roman" w:hAnsi="Times New Roman" w:cs="Times New Roman"/>
        </w:rPr>
      </w:pPr>
    </w:p>
    <w:p w14:paraId="4AB38E62" w14:textId="77777777" w:rsidR="00A138AD" w:rsidRPr="00A55D98" w:rsidRDefault="00000000" w:rsidP="00A55D98">
      <w:pPr>
        <w:spacing w:after="160"/>
        <w:jc w:val="both"/>
        <w:rPr>
          <w:rFonts w:ascii="Times New Roman" w:hAnsi="Times New Roman" w:cs="Times New Roman"/>
        </w:rPr>
      </w:pPr>
      <w:r w:rsidRPr="00A55D98">
        <w:rPr>
          <w:rFonts w:ascii="Times New Roman" w:hAnsi="Times New Roman" w:cs="Times New Roman"/>
          <w:b/>
          <w:bCs/>
        </w:rPr>
        <w:t xml:space="preserve">Institutional Control. </w:t>
      </w:r>
      <w:r w:rsidRPr="00A55D98">
        <w:rPr>
          <w:rFonts w:ascii="Times New Roman" w:hAnsi="Times New Roman" w:cs="Times New Roman"/>
        </w:rPr>
        <w:t xml:space="preserve">Private for-profit institutions are associated with graduation rates approximately 10.9 percentage points lower than public institutions, reflecting the well-documented pattern of poorer student outcomes at for-profit colleges. Private not-for-profit institutions show graduation rates approximately 4.8 percentage points lower than public institutions in this model, after </w:t>
      </w:r>
      <w:proofErr w:type="gramStart"/>
      <w:r w:rsidRPr="00A55D98">
        <w:rPr>
          <w:rFonts w:ascii="Times New Roman" w:hAnsi="Times New Roman" w:cs="Times New Roman"/>
        </w:rPr>
        <w:t>controlling for</w:t>
      </w:r>
      <w:proofErr w:type="gramEnd"/>
      <w:r w:rsidRPr="00A55D98">
        <w:rPr>
          <w:rFonts w:ascii="Times New Roman" w:hAnsi="Times New Roman" w:cs="Times New Roman"/>
        </w:rPr>
        <w:t xml:space="preserve"> tuition, staffing, and student composition — suggesting that the private nonprofit advantage seen in simpler models is partially explained by their higher cost structures and different student body compositions.</w:t>
      </w:r>
    </w:p>
    <w:p w14:paraId="656A13F9" w14:textId="77777777" w:rsidR="00A138AD" w:rsidRPr="00A55D98" w:rsidRDefault="00000000" w:rsidP="00A55D98">
      <w:pPr>
        <w:spacing w:after="160"/>
        <w:jc w:val="both"/>
        <w:rPr>
          <w:rFonts w:ascii="Times New Roman" w:hAnsi="Times New Roman" w:cs="Times New Roman"/>
        </w:rPr>
      </w:pPr>
      <w:r w:rsidRPr="00A55D98">
        <w:rPr>
          <w:rFonts w:ascii="Times New Roman" w:hAnsi="Times New Roman" w:cs="Times New Roman"/>
          <w:b/>
          <w:bCs/>
        </w:rPr>
        <w:t xml:space="preserve">Total Instructional Staff. </w:t>
      </w:r>
      <w:r w:rsidRPr="00A55D98">
        <w:rPr>
          <w:rFonts w:ascii="Times New Roman" w:hAnsi="Times New Roman" w:cs="Times New Roman"/>
        </w:rPr>
        <w:t>A larger number of total instructional staff is positively associated with graduation rates. Institutions with more faculty tend to provide greater individualized academic support, which promotes degree completion.</w:t>
      </w:r>
    </w:p>
    <w:p w14:paraId="318D3783" w14:textId="77777777" w:rsidR="00A138AD" w:rsidRPr="00A55D98" w:rsidRDefault="00000000" w:rsidP="00A55D98">
      <w:pPr>
        <w:spacing w:after="160"/>
        <w:jc w:val="both"/>
        <w:rPr>
          <w:rFonts w:ascii="Times New Roman" w:hAnsi="Times New Roman" w:cs="Times New Roman"/>
        </w:rPr>
      </w:pPr>
      <w:r w:rsidRPr="00A55D98">
        <w:rPr>
          <w:rFonts w:ascii="Times New Roman" w:hAnsi="Times New Roman" w:cs="Times New Roman"/>
          <w:b/>
          <w:bCs/>
        </w:rPr>
        <w:t xml:space="preserve">Gender Composition. </w:t>
      </w:r>
      <w:r w:rsidRPr="00A55D98">
        <w:rPr>
          <w:rFonts w:ascii="Times New Roman" w:hAnsi="Times New Roman" w:cs="Times New Roman"/>
        </w:rPr>
        <w:t>Both Men and Women in the cohort are negatively associated with graduation rates, reflecting that larger cohorts face greater challenges in supporting all students to completion. The negative effect is stronger for Men than Women, consistent with national trends showing lower male degree completion rates.</w:t>
      </w:r>
    </w:p>
    <w:p w14:paraId="11976054" w14:textId="77777777" w:rsidR="00A138AD" w:rsidRPr="00A55D98" w:rsidRDefault="00000000" w:rsidP="00A55D98">
      <w:pPr>
        <w:spacing w:after="160"/>
        <w:jc w:val="both"/>
        <w:rPr>
          <w:rFonts w:ascii="Times New Roman" w:hAnsi="Times New Roman" w:cs="Times New Roman"/>
        </w:rPr>
      </w:pPr>
      <w:r w:rsidRPr="00A55D98">
        <w:rPr>
          <w:rFonts w:ascii="Times New Roman" w:hAnsi="Times New Roman" w:cs="Times New Roman"/>
          <w:b/>
          <w:bCs/>
        </w:rPr>
        <w:t xml:space="preserve">Race/Ethnicity Composition. </w:t>
      </w:r>
      <w:r w:rsidRPr="00A55D98">
        <w:rPr>
          <w:rFonts w:ascii="Times New Roman" w:hAnsi="Times New Roman" w:cs="Times New Roman"/>
        </w:rPr>
        <w:t>White, African American, Asian, and Hispanic student counts are all positively associated with graduation rates when controlling for other institutional characteristics. This reflects an institutional-level effect: institutions that enroll larger numbers across all racial and ethnic groups tend to be larger, more established institutions with stronger completion support systems. The strongest individual race effect is for Asian students, followed by White, Hispanic, and African American students.</w:t>
      </w:r>
    </w:p>
    <w:p w14:paraId="775731C8" w14:textId="77777777" w:rsidR="00A138AD" w:rsidRPr="00A55D98" w:rsidRDefault="00000000" w:rsidP="00A55D98">
      <w:pPr>
        <w:spacing w:after="160"/>
        <w:jc w:val="both"/>
        <w:rPr>
          <w:rFonts w:ascii="Times New Roman" w:hAnsi="Times New Roman" w:cs="Times New Roman"/>
        </w:rPr>
      </w:pPr>
      <w:r w:rsidRPr="00A55D98">
        <w:rPr>
          <w:rFonts w:ascii="Times New Roman" w:hAnsi="Times New Roman" w:cs="Times New Roman"/>
          <w:b/>
          <w:bCs/>
        </w:rPr>
        <w:lastRenderedPageBreak/>
        <w:t xml:space="preserve">Tuition and Cost Variables. </w:t>
      </w:r>
      <w:r w:rsidRPr="00A55D98">
        <w:rPr>
          <w:rFonts w:ascii="Times New Roman" w:hAnsi="Times New Roman" w:cs="Times New Roman"/>
        </w:rPr>
        <w:t>Both in-state tuition and out-of-state tuition are positively associated with graduation rates, reflecting that higher-cost institutions tend to be more selective and better resourced. In-state fees are also positively associated with graduation rates. Room cost and board cost show positive associations as well — institutions with on-campus housing and dining tend to provide more integrated student support environments that promote completion.</w:t>
      </w:r>
    </w:p>
    <w:p w14:paraId="671DB97E" w14:textId="77777777" w:rsidR="00A138AD" w:rsidRPr="00A55D98" w:rsidRDefault="00A138AD">
      <w:pPr>
        <w:spacing w:after="80"/>
        <w:rPr>
          <w:rFonts w:ascii="Times New Roman" w:hAnsi="Times New Roman" w:cs="Times New Roman"/>
        </w:rPr>
      </w:pPr>
    </w:p>
    <w:p w14:paraId="1F0FD264" w14:textId="1454D61E" w:rsidR="00A138AD" w:rsidRPr="00A55D98" w:rsidRDefault="00A138AD" w:rsidP="00A55D98">
      <w:pPr>
        <w:spacing w:after="160"/>
        <w:jc w:val="both"/>
        <w:rPr>
          <w:rFonts w:ascii="Times New Roman" w:hAnsi="Times New Roman" w:cs="Times New Roman"/>
        </w:rPr>
      </w:pPr>
    </w:p>
    <w:sectPr w:rsidR="00A138AD" w:rsidRPr="00A55D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470F3"/>
    <w:multiLevelType w:val="hybridMultilevel"/>
    <w:tmpl w:val="DDC69894"/>
    <w:lvl w:ilvl="0" w:tplc="04080C14">
      <w:start w:val="1"/>
      <w:numFmt w:val="bullet"/>
      <w:lvlText w:val="●"/>
      <w:lvlJc w:val="left"/>
      <w:pPr>
        <w:ind w:left="720" w:hanging="360"/>
      </w:pPr>
    </w:lvl>
    <w:lvl w:ilvl="1" w:tplc="C00AB456">
      <w:start w:val="1"/>
      <w:numFmt w:val="bullet"/>
      <w:lvlText w:val="○"/>
      <w:lvlJc w:val="left"/>
      <w:pPr>
        <w:ind w:left="1440" w:hanging="360"/>
      </w:pPr>
    </w:lvl>
    <w:lvl w:ilvl="2" w:tplc="FFA05380">
      <w:start w:val="1"/>
      <w:numFmt w:val="bullet"/>
      <w:lvlText w:val="■"/>
      <w:lvlJc w:val="left"/>
      <w:pPr>
        <w:ind w:left="2160" w:hanging="360"/>
      </w:pPr>
    </w:lvl>
    <w:lvl w:ilvl="3" w:tplc="D0FA84AE">
      <w:start w:val="1"/>
      <w:numFmt w:val="bullet"/>
      <w:lvlText w:val="●"/>
      <w:lvlJc w:val="left"/>
      <w:pPr>
        <w:ind w:left="2880" w:hanging="360"/>
      </w:pPr>
    </w:lvl>
    <w:lvl w:ilvl="4" w:tplc="6FF47FE6">
      <w:start w:val="1"/>
      <w:numFmt w:val="bullet"/>
      <w:lvlText w:val="○"/>
      <w:lvlJc w:val="left"/>
      <w:pPr>
        <w:ind w:left="3600" w:hanging="360"/>
      </w:pPr>
    </w:lvl>
    <w:lvl w:ilvl="5" w:tplc="0388C00A">
      <w:start w:val="1"/>
      <w:numFmt w:val="bullet"/>
      <w:lvlText w:val="■"/>
      <w:lvlJc w:val="left"/>
      <w:pPr>
        <w:ind w:left="4320" w:hanging="360"/>
      </w:pPr>
    </w:lvl>
    <w:lvl w:ilvl="6" w:tplc="EBA24B5A">
      <w:start w:val="1"/>
      <w:numFmt w:val="bullet"/>
      <w:lvlText w:val="●"/>
      <w:lvlJc w:val="left"/>
      <w:pPr>
        <w:ind w:left="5040" w:hanging="360"/>
      </w:pPr>
    </w:lvl>
    <w:lvl w:ilvl="7" w:tplc="3AC88DC8">
      <w:start w:val="1"/>
      <w:numFmt w:val="bullet"/>
      <w:lvlText w:val="●"/>
      <w:lvlJc w:val="left"/>
      <w:pPr>
        <w:ind w:left="5760" w:hanging="360"/>
      </w:pPr>
    </w:lvl>
    <w:lvl w:ilvl="8" w:tplc="BE961268">
      <w:start w:val="1"/>
      <w:numFmt w:val="bullet"/>
      <w:lvlText w:val="●"/>
      <w:lvlJc w:val="left"/>
      <w:pPr>
        <w:ind w:left="6480" w:hanging="360"/>
      </w:pPr>
    </w:lvl>
  </w:abstractNum>
  <w:num w:numId="1" w16cid:durableId="274143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8AD"/>
    <w:rsid w:val="00A138AD"/>
    <w:rsid w:val="00A55D98"/>
    <w:rsid w:val="00C6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6776"/>
  <w15:docId w15:val="{F97E9ED0-4D52-4B9F-BC0C-89562651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280" w:after="16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B3957-0587-4730-980F-B3D8BBB13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867</Words>
  <Characters>4942</Characters>
  <Application>Microsoft Office Word</Application>
  <DocSecurity>0</DocSecurity>
  <Lines>41</Lines>
  <Paragraphs>11</Paragraphs>
  <ScaleCrop>false</ScaleCrop>
  <Company>UNC Wilmington</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Roya Rahimi</cp:lastModifiedBy>
  <cp:revision>2</cp:revision>
  <dcterms:created xsi:type="dcterms:W3CDTF">2026-05-06T02:45:00Z</dcterms:created>
  <dcterms:modified xsi:type="dcterms:W3CDTF">2026-05-06T02:45:00Z</dcterms:modified>
</cp:coreProperties>
</file>