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C503E" w14:textId="77777777" w:rsidR="000D4703" w:rsidRPr="000D4703" w:rsidRDefault="000D4703" w:rsidP="000D4703">
      <w:r w:rsidRPr="000D4703">
        <w:pict w14:anchorId="3CA8E8EE">
          <v:rect id="_x0000_i1109" style="width:0;height:1.5pt" o:hralign="center" o:hrstd="t" o:hr="t" fillcolor="#a0a0a0" stroked="f"/>
        </w:pict>
      </w:r>
    </w:p>
    <w:p w14:paraId="5BFF497E" w14:textId="77777777" w:rsidR="000D4703" w:rsidRPr="000D4703" w:rsidRDefault="000D4703" w:rsidP="000D4703">
      <w:r w:rsidRPr="000D4703">
        <w:t>Problem Statement</w:t>
      </w:r>
    </w:p>
    <w:p w14:paraId="6BB340FC" w14:textId="77777777" w:rsidR="000D4703" w:rsidRPr="000D4703" w:rsidRDefault="000D4703" w:rsidP="000D4703">
      <w:pPr>
        <w:numPr>
          <w:ilvl w:val="0"/>
          <w:numId w:val="2"/>
        </w:numPr>
      </w:pPr>
      <w:r w:rsidRPr="000D4703">
        <w:t>Background and Current Practices</w:t>
      </w:r>
    </w:p>
    <w:p w14:paraId="56D0F80F" w14:textId="77777777" w:rsidR="000D4703" w:rsidRPr="000D4703" w:rsidRDefault="000D4703" w:rsidP="000D4703">
      <w:r w:rsidRPr="000D4703">
        <w:t>Outcome Based Education (OBE) requires institutes to regularly evaluate how well students achieve defined academic outcomes. In current practice, this process is mostly handled using spreadsheets, manual documents, and informal coordination among faculty and departments.</w:t>
      </w:r>
    </w:p>
    <w:p w14:paraId="29C942AC" w14:textId="77777777" w:rsidR="000D4703" w:rsidRPr="000D4703" w:rsidRDefault="000D4703" w:rsidP="000D4703">
      <w:r w:rsidRPr="000D4703">
        <w:t>Course Outcomes (COs), Program Outcomes (POs), and their mappings are usually maintained as static records. Assessment marks are collected during the semester, but attainment calculations are often performed only at the end of the term. These calculations are mainly done to complete mandatory reports or meet accreditation requirements, rather than to support improvement during the teaching period.</w:t>
      </w:r>
    </w:p>
    <w:p w14:paraId="290F978E" w14:textId="77777777" w:rsidR="000D4703" w:rsidRPr="000D4703" w:rsidRDefault="000D4703" w:rsidP="000D4703">
      <w:r w:rsidRPr="000D4703">
        <w:t>Academic monitoring is largely reactive. Performance issues are identified only after final results are declared or when reports are being prepared. Supporting evidence is collected later from different sources and is often incomplete or inconsistent.</w:t>
      </w:r>
    </w:p>
    <w:p w14:paraId="5635D89C" w14:textId="77777777" w:rsidR="000D4703" w:rsidRPr="000D4703" w:rsidRDefault="000D4703" w:rsidP="000D4703">
      <w:r w:rsidRPr="000D4703">
        <w:pict w14:anchorId="36FCCE79">
          <v:rect id="_x0000_i1110" style="width:0;height:1.5pt" o:hralign="center" o:hrstd="t" o:hr="t" fillcolor="#a0a0a0" stroked="f"/>
        </w:pict>
      </w:r>
    </w:p>
    <w:p w14:paraId="6AC3B116" w14:textId="77777777" w:rsidR="000D4703" w:rsidRPr="000D4703" w:rsidRDefault="000D4703" w:rsidP="000D4703">
      <w:pPr>
        <w:numPr>
          <w:ilvl w:val="0"/>
          <w:numId w:val="3"/>
        </w:numPr>
      </w:pPr>
      <w:r w:rsidRPr="000D4703">
        <w:t>Problems in Outcome Tracking</w:t>
      </w:r>
    </w:p>
    <w:p w14:paraId="706D7FB7" w14:textId="77777777" w:rsidR="000D4703" w:rsidRPr="000D4703" w:rsidRDefault="000D4703" w:rsidP="000D4703">
      <w:r w:rsidRPr="000D4703">
        <w:t>2.1 Scattered Data and Lack of Long-Term Tracking</w:t>
      </w:r>
    </w:p>
    <w:p w14:paraId="33C990CF" w14:textId="77777777" w:rsidR="000D4703" w:rsidRPr="000D4703" w:rsidRDefault="000D4703" w:rsidP="000D4703">
      <w:r w:rsidRPr="000D4703">
        <w:t>Academic data related to outcomes, assessments, targets, and evidence is spread across multiple files and individuals. There is no centralized system to store and manage this data. As a result, older records are difficult to retrieve or compare, making long-term analysis and trend tracking challenging.</w:t>
      </w:r>
    </w:p>
    <w:p w14:paraId="56C51C74" w14:textId="77777777" w:rsidR="000D4703" w:rsidRPr="000D4703" w:rsidRDefault="000D4703" w:rsidP="000D4703">
      <w:r w:rsidRPr="000D4703">
        <w:t>2.2 Outcome Measurement Focused Only on Documentation</w:t>
      </w:r>
    </w:p>
    <w:p w14:paraId="62E18460" w14:textId="77777777" w:rsidR="000D4703" w:rsidRPr="000D4703" w:rsidRDefault="000D4703" w:rsidP="000D4703">
      <w:r w:rsidRPr="000D4703">
        <w:t>Although OBE emphasizes continuous improvement, outcome measurement is mostly carried out only to fulfill documentation requirements. The collected data is rarely used to guide teaching strategies, assessment planning, or corrective actions during the semester.</w:t>
      </w:r>
    </w:p>
    <w:p w14:paraId="00A048D8" w14:textId="77777777" w:rsidR="000D4703" w:rsidRPr="000D4703" w:rsidRDefault="000D4703" w:rsidP="000D4703">
      <w:r w:rsidRPr="000D4703">
        <w:t>2.3 Unclear Link Between Assessments and Outcomes</w:t>
      </w:r>
    </w:p>
    <w:p w14:paraId="20174483" w14:textId="77777777" w:rsidR="000D4703" w:rsidRPr="000D4703" w:rsidRDefault="000D4703" w:rsidP="000D4703">
      <w:r w:rsidRPr="000D4703">
        <w:t>While assessments contribute to outcome attainment, their individual impact is not clearly visible. When attainment levels are low, identifying the responsible assessment tool requires manual checking and personal judgment. This makes root cause identification time-consuming and unreliable.</w:t>
      </w:r>
    </w:p>
    <w:p w14:paraId="37AC185A" w14:textId="77777777" w:rsidR="000D4703" w:rsidRPr="000D4703" w:rsidRDefault="000D4703" w:rsidP="000D4703">
      <w:r w:rsidRPr="000D4703">
        <w:t>2.4 Limited Visibility for Academic Decision Makers</w:t>
      </w:r>
    </w:p>
    <w:p w14:paraId="602F13F7" w14:textId="77777777" w:rsidR="000D4703" w:rsidRPr="000D4703" w:rsidRDefault="000D4703" w:rsidP="000D4703">
      <w:r w:rsidRPr="000D4703">
        <w:lastRenderedPageBreak/>
        <w:t>Department heads and coordinators usually have access only to final summary reports. Detailed data behind the attainment values is not easily available. This limits their ability to verify calculations, approve targets confidently, or make data-driven academic decisions.</w:t>
      </w:r>
    </w:p>
    <w:p w14:paraId="091DD608" w14:textId="77777777" w:rsidR="000D4703" w:rsidRPr="000D4703" w:rsidRDefault="000D4703" w:rsidP="000D4703">
      <w:r w:rsidRPr="000D4703">
        <w:t>2.5 High Dependence on Individual Effort</w:t>
      </w:r>
    </w:p>
    <w:p w14:paraId="58A8A894" w14:textId="77777777" w:rsidR="000D4703" w:rsidRPr="000D4703" w:rsidRDefault="000D4703" w:rsidP="000D4703">
      <w:r w:rsidRPr="000D4703">
        <w:t>The effectiveness of outcome tracking depends heavily on individual faculty members. Differences in understanding, documentation practices, and calculation methods lead to inconsistent data quality across courses and departments.</w:t>
      </w:r>
    </w:p>
    <w:p w14:paraId="59580E08" w14:textId="77777777" w:rsidR="000D4703" w:rsidRPr="000D4703" w:rsidRDefault="000D4703" w:rsidP="000D4703">
      <w:r w:rsidRPr="000D4703">
        <w:pict w14:anchorId="1B89D3E6">
          <v:rect id="_x0000_i1111" style="width:0;height:1.5pt" o:hralign="center" o:hrstd="t" o:hr="t" fillcolor="#a0a0a0" stroked="f"/>
        </w:pict>
      </w:r>
    </w:p>
    <w:p w14:paraId="221F21B3" w14:textId="77777777" w:rsidR="000D4703" w:rsidRPr="000D4703" w:rsidRDefault="000D4703" w:rsidP="000D4703">
      <w:pPr>
        <w:numPr>
          <w:ilvl w:val="0"/>
          <w:numId w:val="4"/>
        </w:numPr>
      </w:pPr>
      <w:r w:rsidRPr="000D4703">
        <w:t>Lack of Structured Student Stress Analysis</w:t>
      </w:r>
    </w:p>
    <w:p w14:paraId="1F5C8CDF" w14:textId="77777777" w:rsidR="000D4703" w:rsidRPr="000D4703" w:rsidRDefault="000D4703" w:rsidP="000D4703">
      <w:r w:rsidRPr="000D4703">
        <w:t>Student academic performance is influenced by factors such as stress and workload. However, these factors are not formally captured or analyzed in existing practices.</w:t>
      </w:r>
    </w:p>
    <w:p w14:paraId="3C950D5F" w14:textId="77777777" w:rsidR="000D4703" w:rsidRPr="000D4703" w:rsidRDefault="000D4703" w:rsidP="000D4703">
      <w:r w:rsidRPr="000D4703">
        <w:t>Stress awareness is usually based on informal observation or verbal feedback. Without structured data, it is not possible to study stress trends or understand how stress levels relate to academic attainment at a group level.</w:t>
      </w:r>
    </w:p>
    <w:p w14:paraId="3D2EBE7E" w14:textId="77777777" w:rsidR="000D4703" w:rsidRPr="000D4703" w:rsidRDefault="000D4703" w:rsidP="000D4703">
      <w:r w:rsidRPr="000D4703">
        <w:pict w14:anchorId="1192CD2A">
          <v:rect id="_x0000_i1112" style="width:0;height:1.5pt" o:hralign="center" o:hrstd="t" o:hr="t" fillcolor="#a0a0a0" stroked="f"/>
        </w:pict>
      </w:r>
    </w:p>
    <w:p w14:paraId="454EBE77" w14:textId="77777777" w:rsidR="000D4703" w:rsidRPr="000D4703" w:rsidRDefault="000D4703" w:rsidP="000D4703">
      <w:pPr>
        <w:numPr>
          <w:ilvl w:val="0"/>
          <w:numId w:val="5"/>
        </w:numPr>
      </w:pPr>
      <w:r w:rsidRPr="000D4703">
        <w:t>Audit and Accreditation Challenges</w:t>
      </w:r>
    </w:p>
    <w:p w14:paraId="78EDBB23" w14:textId="77777777" w:rsidR="000D4703" w:rsidRPr="000D4703" w:rsidRDefault="000D4703" w:rsidP="000D4703">
      <w:r w:rsidRPr="000D4703">
        <w:t>Accreditation processes require clear, consistent, and verifiable academic data. With current manual methods, audit preparation involves significant effort. Data has to be collected from multiple sources, calculations need rechecking, and explanations must be prepared separately.</w:t>
      </w:r>
    </w:p>
    <w:p w14:paraId="53311ABC" w14:textId="77777777" w:rsidR="000D4703" w:rsidRPr="000D4703" w:rsidRDefault="000D4703" w:rsidP="000D4703">
      <w:r w:rsidRPr="000D4703">
        <w:t>Auditors often see only final attainment values, without clear visibility into the calculation process or supporting evidence. This leads to additional queries, reduced confidence in reports, and increased audit effort.</w:t>
      </w:r>
    </w:p>
    <w:p w14:paraId="1DDB833A" w14:textId="77777777" w:rsidR="000D4703" w:rsidRPr="000D4703" w:rsidRDefault="000D4703" w:rsidP="000D4703">
      <w:r w:rsidRPr="000D4703">
        <w:pict w14:anchorId="47D576FC">
          <v:rect id="_x0000_i1113" style="width:0;height:1.5pt" o:hralign="center" o:hrstd="t" o:hr="t" fillcolor="#a0a0a0" stroked="f"/>
        </w:pict>
      </w:r>
    </w:p>
    <w:p w14:paraId="09461540" w14:textId="77777777" w:rsidR="000D4703" w:rsidRPr="000D4703" w:rsidRDefault="000D4703" w:rsidP="000D4703">
      <w:pPr>
        <w:numPr>
          <w:ilvl w:val="0"/>
          <w:numId w:val="6"/>
        </w:numPr>
      </w:pPr>
      <w:r w:rsidRPr="000D4703">
        <w:t>Limitations of Existing Approaches</w:t>
      </w:r>
    </w:p>
    <w:p w14:paraId="60A9EF2C" w14:textId="77777777" w:rsidR="000D4703" w:rsidRPr="000D4703" w:rsidRDefault="000D4703" w:rsidP="000D4703">
      <w:r w:rsidRPr="000D4703">
        <w:t>Manual methods and general-purpose tools are not designed to support detailed outcome tracking over multiple academic years. They lack structure, consistency, and traceability. As academic and accreditation requirements continue to grow, these approaches become increasingly difficult to manage.</w:t>
      </w:r>
    </w:p>
    <w:p w14:paraId="4E473334" w14:textId="733AFBCC" w:rsidR="00AA0AF6" w:rsidRPr="000D4703" w:rsidRDefault="000D4703" w:rsidP="000D4703">
      <w:r w:rsidRPr="000D4703">
        <w:pict w14:anchorId="63427A43">
          <v:rect id="_x0000_i1114" style="width:0;height:1.5pt" o:hralign="center" o:hrstd="t" o:hr="t" fillcolor="#a0a0a0" stroked="f"/>
        </w:pict>
      </w:r>
    </w:p>
    <w:sectPr w:rsidR="00AA0AF6" w:rsidRPr="000D47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5279E"/>
    <w:multiLevelType w:val="multilevel"/>
    <w:tmpl w:val="4B0A4C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82B13"/>
    <w:multiLevelType w:val="multilevel"/>
    <w:tmpl w:val="6A5A7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DB48E6"/>
    <w:multiLevelType w:val="multilevel"/>
    <w:tmpl w:val="C090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A575B"/>
    <w:multiLevelType w:val="multilevel"/>
    <w:tmpl w:val="09FECD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C74A0"/>
    <w:multiLevelType w:val="multilevel"/>
    <w:tmpl w:val="BA5256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E77025"/>
    <w:multiLevelType w:val="multilevel"/>
    <w:tmpl w:val="367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373359">
    <w:abstractNumId w:val="5"/>
  </w:num>
  <w:num w:numId="2" w16cid:durableId="704478861">
    <w:abstractNumId w:val="2"/>
  </w:num>
  <w:num w:numId="3" w16cid:durableId="95902636">
    <w:abstractNumId w:val="0"/>
  </w:num>
  <w:num w:numId="4" w16cid:durableId="911308622">
    <w:abstractNumId w:val="1"/>
  </w:num>
  <w:num w:numId="5" w16cid:durableId="388919097">
    <w:abstractNumId w:val="3"/>
  </w:num>
  <w:num w:numId="6" w16cid:durableId="20368856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A9"/>
    <w:rsid w:val="000D4703"/>
    <w:rsid w:val="00492F52"/>
    <w:rsid w:val="006C16A9"/>
    <w:rsid w:val="00AA0AF6"/>
    <w:rsid w:val="00F97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C4266"/>
  <w15:chartTrackingRefBased/>
  <w15:docId w15:val="{1D190FEB-EF79-4692-9A93-F4E90F79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703"/>
  </w:style>
  <w:style w:type="paragraph" w:styleId="Heading1">
    <w:name w:val="heading 1"/>
    <w:basedOn w:val="Normal"/>
    <w:next w:val="Normal"/>
    <w:link w:val="Heading1Char"/>
    <w:uiPriority w:val="9"/>
    <w:qFormat/>
    <w:rsid w:val="006C1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6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6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6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6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6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6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6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6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6A9"/>
    <w:rPr>
      <w:rFonts w:eastAsiaTheme="majorEastAsia" w:cstheme="majorBidi"/>
      <w:color w:val="272727" w:themeColor="text1" w:themeTint="D8"/>
    </w:rPr>
  </w:style>
  <w:style w:type="paragraph" w:styleId="Title">
    <w:name w:val="Title"/>
    <w:basedOn w:val="Normal"/>
    <w:next w:val="Normal"/>
    <w:link w:val="TitleChar"/>
    <w:uiPriority w:val="10"/>
    <w:qFormat/>
    <w:rsid w:val="006C1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6A9"/>
    <w:pPr>
      <w:spacing w:before="160"/>
      <w:jc w:val="center"/>
    </w:pPr>
    <w:rPr>
      <w:i/>
      <w:iCs/>
      <w:color w:val="404040" w:themeColor="text1" w:themeTint="BF"/>
    </w:rPr>
  </w:style>
  <w:style w:type="character" w:customStyle="1" w:styleId="QuoteChar">
    <w:name w:val="Quote Char"/>
    <w:basedOn w:val="DefaultParagraphFont"/>
    <w:link w:val="Quote"/>
    <w:uiPriority w:val="29"/>
    <w:rsid w:val="006C16A9"/>
    <w:rPr>
      <w:i/>
      <w:iCs/>
      <w:color w:val="404040" w:themeColor="text1" w:themeTint="BF"/>
    </w:rPr>
  </w:style>
  <w:style w:type="paragraph" w:styleId="ListParagraph">
    <w:name w:val="List Paragraph"/>
    <w:basedOn w:val="Normal"/>
    <w:uiPriority w:val="34"/>
    <w:qFormat/>
    <w:rsid w:val="006C16A9"/>
    <w:pPr>
      <w:ind w:left="720"/>
      <w:contextualSpacing/>
    </w:pPr>
  </w:style>
  <w:style w:type="character" w:styleId="IntenseEmphasis">
    <w:name w:val="Intense Emphasis"/>
    <w:basedOn w:val="DefaultParagraphFont"/>
    <w:uiPriority w:val="21"/>
    <w:qFormat/>
    <w:rsid w:val="006C16A9"/>
    <w:rPr>
      <w:i/>
      <w:iCs/>
      <w:color w:val="2F5496" w:themeColor="accent1" w:themeShade="BF"/>
    </w:rPr>
  </w:style>
  <w:style w:type="paragraph" w:styleId="IntenseQuote">
    <w:name w:val="Intense Quote"/>
    <w:basedOn w:val="Normal"/>
    <w:next w:val="Normal"/>
    <w:link w:val="IntenseQuoteChar"/>
    <w:uiPriority w:val="30"/>
    <w:qFormat/>
    <w:rsid w:val="006C1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6A9"/>
    <w:rPr>
      <w:i/>
      <w:iCs/>
      <w:color w:val="2F5496" w:themeColor="accent1" w:themeShade="BF"/>
    </w:rPr>
  </w:style>
  <w:style w:type="character" w:styleId="IntenseReference">
    <w:name w:val="Intense Reference"/>
    <w:basedOn w:val="DefaultParagraphFont"/>
    <w:uiPriority w:val="32"/>
    <w:qFormat/>
    <w:rsid w:val="006C16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ISF Switchgear Components</dc:creator>
  <cp:keywords/>
  <dc:description/>
  <cp:lastModifiedBy>ISF Switchgear Components</cp:lastModifiedBy>
  <cp:revision>3</cp:revision>
  <dcterms:created xsi:type="dcterms:W3CDTF">2025-12-25T16:26:00Z</dcterms:created>
  <dcterms:modified xsi:type="dcterms:W3CDTF">2025-12-31T08:14:00Z</dcterms:modified>
</cp:coreProperties>
</file>