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5F"/>
          <w:sz w:val="40"/>
          <w:szCs w:val="40"/>
        </w:rPr>
        <w:t xml:space="preserve">Comparing Three AI-Generated Supply Chain Maps</w:t>
      </w:r>
    </w:p>
    <w:p>
      <w:pPr>
        <w:spacing w:after="300"/>
      </w:pPr>
      <w:r>
        <w:rPr>
          <w:rFonts w:ascii="Calibri" w:cs="Calibri" w:eastAsia="Calibri" w:hAnsi="Calibri"/>
          <w:i/>
          <w:iCs/>
          <w:color w:val="555555"/>
          <w:sz w:val="24"/>
          <w:szCs w:val="24"/>
        </w:rPr>
        <w:t xml:space="preserve">Abbott Laboratories (Pakistan) Limited — Surbex-Z | Claude vs. Gemini vs. ChatGPT</w:t>
      </w:r>
    </w:p>
    <w:p>
      <w:pPr>
        <w:pStyle w:val="Heading1"/>
        <w:spacing w:after="140" w:before="280"/>
      </w:pPr>
      <w:r>
        <w:rPr>
          <w:b/>
          <w:bCs/>
          <w:color w:val="1F4E5F"/>
        </w:rPr>
        <w:t xml:space="preserve">Overview</w:t>
      </w:r>
    </w:p>
    <w:p>
      <w:pPr>
        <w:spacing w:after="140"/>
      </w:pPr>
      <w:r>
        <w:rPr>
          <w:rFonts w:ascii="Calibri" w:cs="Calibri" w:eastAsia="Calibri" w:hAnsi="Calibri"/>
          <w:sz w:val="22"/>
          <w:szCs w:val="22"/>
        </w:rPr>
        <w:t xml:space="preserve">All three AI tools (Claude, Gemini, and ChatGPT) were asked to produce an illustrative supply chain map for Surbex-Z, a Surbex-Z multivitamin product made by Abbott Laboratories (Pakistan) Limited. All three responses follow a similar six-part skeleton — upstream suppliers, manufacturing, downstream distribution, information/financial flow, a text diagram, and lead-time estimates, plus a closing assumptions section. However, the three differ noticeably in factual claims, level of technical detail, use of real sourcing/citations, and format. Those differences are broken out below.</w:t>
      </w:r>
    </w:p>
    <w:p>
      <w:pPr>
        <w:pStyle w:val="Heading1"/>
        <w:spacing w:after="140" w:before="280"/>
      </w:pPr>
      <w:r>
        <w:rPr>
          <w:b/>
          <w:bCs/>
          <w:color w:val="1F4E5F"/>
        </w:rPr>
        <w:t xml:space="preserve">Format and Presentation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700"/>
        <w:gridCol w:w="2800"/>
      </w:tblGrid>
      <w:tr>
        <w:tc>
          <w:tcPr>
            <w:tcW w:type="dxa" w:w="1800"/>
            <w:shd w:fill="1F4E5F"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Aspect</w:t>
            </w:r>
          </w:p>
        </w:tc>
        <w:tc>
          <w:tcPr>
            <w:tcW w:type="dxa" w:w="2700"/>
            <w:shd w:fill="1F4E5F"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AI 1 — Claude</w:t>
            </w:r>
          </w:p>
        </w:tc>
        <w:tc>
          <w:tcPr>
            <w:tcW w:type="dxa" w:w="2700"/>
            <w:shd w:fill="1F4E5F"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AI 2 — Gemini</w:t>
            </w:r>
          </w:p>
        </w:tc>
        <w:tc>
          <w:tcPr>
            <w:tcW w:type="dxa" w:w="2800"/>
            <w:shd w:fill="1F4E5F"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AI 3 — ChatGPT</w:t>
            </w:r>
          </w:p>
        </w:tc>
      </w:tr>
      <w:tr>
        <w:tc>
          <w:tcPr>
            <w:tcW w:type="dxa" w:w="18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Document style</w:t>
            </w:r>
          </w:p>
        </w:tc>
        <w:tc>
          <w:tcPr>
            <w:tcW w:type="dxa" w:w="27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Clean text document with headings and tables; concise, ~2 pages</w:t>
            </w:r>
          </w:p>
        </w:tc>
        <w:tc>
          <w:tcPr>
            <w:tcW w:type="dxa" w:w="27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Text document with boxed/shaded section headers; similarly concise</w:t>
            </w:r>
          </w:p>
        </w:tc>
        <w:tc>
          <w:tcPr>
            <w:tcW w:type="dxa" w:w="28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Long, assignment-style document with a cover page (student name, ERP ID, instructor), embedded screenshot images, and running text — by far the longest of the three</w:t>
            </w:r>
          </w:p>
        </w:tc>
      </w:tr>
      <w:tr>
        <w:tc>
          <w:tcPr>
            <w:tcW w:type="dxa" w:w="18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Length</w:t>
            </w:r>
          </w:p>
        </w:tc>
        <w:tc>
          <w:tcPr>
            <w:tcW w:type="dxa" w:w="27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Shortest of the three</w:t>
            </w:r>
          </w:p>
        </w:tc>
        <w:tc>
          <w:tcPr>
            <w:tcW w:type="dxa" w:w="27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Middle length</w:t>
            </w:r>
          </w:p>
        </w:tc>
        <w:tc>
          <w:tcPr>
            <w:tcW w:type="dxa" w:w="28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Longest (roughly 2–3× Claude/Gemini), partly due to images and repeated diagrams</w:t>
            </w:r>
          </w:p>
        </w:tc>
      </w:tr>
      <w:tr>
        <w:tc>
          <w:tcPr>
            <w:tcW w:type="dxa" w:w="18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Sourcing</w:t>
            </w:r>
          </w:p>
        </w:tc>
        <w:tc>
          <w:tcPr>
            <w:tcW w:type="dxa" w:w="27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No external citations — reasoned entirely from stated calibration assumptions</w:t>
            </w:r>
          </w:p>
        </w:tc>
        <w:tc>
          <w:tcPr>
            <w:tcW w:type="dxa" w:w="27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No external citations — reasoned entirely from stated calibration assumptions</w:t>
            </w:r>
          </w:p>
        </w:tc>
        <w:tc>
          <w:tcPr>
            <w:tcW w:type="dxa" w:w="28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Only one of the three to cite real external sources (PSX company page, Abbott investor-relations PDF, annual report) for company-level facts</w:t>
            </w:r>
          </w:p>
        </w:tc>
      </w:tr>
      <w:tr>
        <w:tc>
          <w:tcPr>
            <w:tcW w:type="dxa" w:w="18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Diagrams</w:t>
            </w:r>
          </w:p>
        </w:tc>
        <w:tc>
          <w:tcPr>
            <w:tcW w:type="dxa" w:w="27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One single-line text diagram</w:t>
            </w:r>
          </w:p>
        </w:tc>
        <w:tc>
          <w:tcPr>
            <w:tcW w:type="dxa" w:w="27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One single-line text diagram in a bordered box</w:t>
            </w:r>
          </w:p>
        </w:tc>
        <w:tc>
          <w:tcPr>
            <w:tcW w:type="dxa" w:w="28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Multiple diagrams: a branching ASCII flow diagram, a linear diagram, and separate information-flow and financial-flow diagrams, plus embedded images</w:t>
            </w:r>
          </w:p>
        </w:tc>
      </w:tr>
    </w:tbl>
    <w:p>
      <w:pPr>
        <w:pStyle w:val="Heading1"/>
        <w:spacing w:after="140" w:before="280"/>
      </w:pPr>
      <w:r>
        <w:rPr>
          <w:b/>
          <w:bCs/>
          <w:color w:val="1F4E5F"/>
        </w:rPr>
        <w:t xml:space="preserve">Company / Calibration Facts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900"/>
        <w:gridCol w:w="2200"/>
      </w:tblGrid>
      <w:tr>
        <w:tc>
          <w:tcPr>
            <w:tcW w:type="dxa" w:w="1900"/>
            <w:shd w:fill="1F4E5F"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Detail</w:t>
            </w:r>
          </w:p>
        </w:tc>
        <w:tc>
          <w:tcPr>
            <w:tcW w:type="dxa" w:w="3000"/>
            <w:shd w:fill="1F4E5F"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AI 1 — Claude</w:t>
            </w:r>
          </w:p>
        </w:tc>
        <w:tc>
          <w:tcPr>
            <w:tcW w:type="dxa" w:w="2900"/>
            <w:shd w:fill="1F4E5F"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AI 2 — Gemini</w:t>
            </w:r>
          </w:p>
        </w:tc>
        <w:tc>
          <w:tcPr>
            <w:tcW w:type="dxa" w:w="2200"/>
            <w:shd w:fill="1F4E5F"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AI 3 — ChatGPT</w:t>
            </w:r>
          </w:p>
        </w:tc>
      </w:tr>
      <w:tr>
        <w:tc>
          <w:tcPr>
            <w:tcW w:type="dxa" w:w="19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Manufacturing site(s) named</w:t>
            </w:r>
          </w:p>
        </w:tc>
        <w:tc>
          <w:tcPr>
            <w:tcW w:type="dxa" w:w="30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Landhi, Karachi (one of two plants)</w:t>
            </w:r>
          </w:p>
        </w:tc>
        <w:tc>
          <w:tcPr>
            <w:tcW w:type="dxa" w:w="29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Landhi and West Wharf, Karachi</w:t>
            </w:r>
          </w:p>
        </w:tc>
        <w:tc>
          <w:tcPr>
            <w:tcW w:type="dxa" w:w="22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Landhi and Korangi, Karachi (cites Abbott's own investor-relations report)</w:t>
            </w:r>
          </w:p>
        </w:tc>
      </w:tr>
      <w:tr>
        <w:tc>
          <w:tcPr>
            <w:tcW w:type="dxa" w:w="19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Scale detail given</w:t>
            </w:r>
          </w:p>
        </w:tc>
        <w:tc>
          <w:tcPr>
            <w:tcW w:type="dxa" w:w="30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~1,400 employees; revenue ~PKR 65–70bn (~$250–260M)</w:t>
            </w:r>
          </w:p>
        </w:tc>
        <w:tc>
          <w:tcPr>
            <w:tcW w:type="dxa" w:w="29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Described only as "large-scale, publicly listed"</w:t>
            </w:r>
          </w:p>
        </w:tc>
        <w:tc>
          <w:tcPr>
            <w:tcW w:type="dxa" w:w="22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Notes it is listed on the PSX under ticker ABOT; no employee/revenue figures given</w:t>
            </w:r>
          </w:p>
        </w:tc>
      </w:tr>
      <w:tr>
        <w:tc>
          <w:tcPr>
            <w:tcW w:type="dxa" w:w="19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Product description</w:t>
            </w:r>
          </w:p>
        </w:tc>
        <w:tc>
          <w:tcPr>
            <w:tcW w:type="dxa" w:w="30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Multivitamin/mineral tablet — mature, high-volume OTC/pharma product</w:t>
            </w:r>
          </w:p>
        </w:tc>
        <w:tc>
          <w:tcPr>
            <w:tcW w:type="dxa" w:w="29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"High-potency Vitamin B-complex with Zinc"; mentions cold-chain/ambient distribution</w:t>
            </w:r>
          </w:p>
        </w:tc>
        <w:tc>
          <w:tcPr>
            <w:tcW w:type="dxa" w:w="22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Vitamin/mineral tablet; explicitly says the product-specific process isn't publicly disclosed</w:t>
            </w:r>
          </w:p>
        </w:tc>
      </w:tr>
      <w:tr>
        <w:tc>
          <w:tcPr>
            <w:tcW w:type="dxa" w:w="19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Regional footprint</w:t>
            </w:r>
          </w:p>
        </w:tc>
        <w:tc>
          <w:tcPr>
            <w:tcW w:type="dxa" w:w="30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Notes exports/reach into Afghanistan, Sri Lanka, Bangladesh</w:t>
            </w:r>
          </w:p>
        </w:tc>
        <w:tc>
          <w:tcPr>
            <w:tcW w:type="dxa" w:w="29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Not mentioned</w:t>
            </w:r>
          </w:p>
        </w:tc>
        <w:tc>
          <w:tcPr>
            <w:tcW w:type="dxa" w:w="22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Not mentioned</w:t>
            </w:r>
          </w:p>
        </w:tc>
      </w:tr>
    </w:tbl>
    <w:p>
      <w:pPr>
        <w:spacing w:after="140"/>
      </w:pPr>
      <w:r>
        <w:rPr>
          <w:rFonts w:ascii="Calibri" w:cs="Calibri" w:eastAsia="Calibri" w:hAnsi="Calibri"/>
          <w:sz w:val="22"/>
          <w:szCs w:val="22"/>
        </w:rPr>
        <w:t xml:space="preserve">Notably, the three tools disagree on the second Karachi plant — Claude and Gemini don't fully agree with each other (unnamed second plant vs. West Wharf), and ChatGPT names Korangi instead. This is a real, checkable discrepancy between the three answers.</w:t>
      </w:r>
    </w:p>
    <w:p>
      <w:pPr>
        <w:pStyle w:val="Heading1"/>
        <w:spacing w:after="140" w:before="280"/>
      </w:pPr>
      <w:r>
        <w:rPr>
          <w:b/>
          <w:bCs/>
          <w:color w:val="1F4E5F"/>
        </w:rPr>
        <w:t xml:space="preserve">Upstream Suppliers</w:t>
      </w:r>
    </w:p>
    <w:p>
      <w:pPr>
        <w:spacing w:after="140"/>
      </w:pPr>
      <w:r>
        <w:rPr>
          <w:rFonts w:ascii="Calibri" w:cs="Calibri" w:eastAsia="Calibri" w:hAnsi="Calibri"/>
          <w:sz w:val="22"/>
          <w:szCs w:val="22"/>
        </w:rPr>
        <w:t xml:space="preserve">All three use the same four raw-material categories (APIs, excipients, primary packaging, secondary packaging), but with different emphasis:</w:t>
      </w:r>
    </w:p>
    <w:p>
      <w:pPr>
        <w:pStyle w:val="ListParagraph"/>
        <w:numPr>
          <w:ilvl w:val="0"/>
          <w:numId w:val="1"/>
        </w:numPr>
        <w:spacing w:after="80"/>
      </w:pPr>
      <w:r>
        <w:rPr>
          <w:rFonts w:ascii="Calibri" w:cs="Calibri" w:eastAsia="Calibri" w:hAnsi="Calibri"/>
          <w:sz w:val="22"/>
          <w:szCs w:val="22"/>
        </w:rPr>
        <w:t xml:space="preserve">Claude: Straightforward Tier 1/Tier 2 table; places API/excipient origin mainly in China, India, and Europe.</w:t>
      </w:r>
    </w:p>
    <w:p>
      <w:pPr>
        <w:pStyle w:val="ListParagraph"/>
        <w:numPr>
          <w:ilvl w:val="0"/>
          <w:numId w:val="1"/>
        </w:numPr>
        <w:spacing w:after="80"/>
      </w:pPr>
      <w:r>
        <w:rPr>
          <w:rFonts w:ascii="Calibri" w:cs="Calibri" w:eastAsia="Calibri" w:hAnsi="Calibri"/>
          <w:sz w:val="22"/>
          <w:szCs w:val="22"/>
        </w:rPr>
        <w:t xml:space="preserve">Gemini: Same structure but with more specific chemistry — names individual vitamins (B1, B2, B6, B12, Niacinamide), specific excipient functions (disintegrants, magnesium stearate lubricant), and traces primary packaging back further to bauxite mining and aluminum smelting.</w:t>
      </w:r>
    </w:p>
    <w:p>
      <w:pPr>
        <w:pStyle w:val="ListParagraph"/>
        <w:numPr>
          <w:ilvl w:val="0"/>
          <w:numId w:val="1"/>
        </w:numPr>
        <w:spacing w:after="80"/>
      </w:pPr>
      <w:r>
        <w:rPr>
          <w:rFonts w:ascii="Calibri" w:cs="Calibri" w:eastAsia="Calibri" w:hAnsi="Calibri"/>
          <w:sz w:val="22"/>
          <w:szCs w:val="22"/>
        </w:rPr>
        <w:t xml:space="preserve">ChatGPT: Adds a fourth column ("Input supplied to Abbott") describing the output specification of each Tier 1 supplier, and repeatedly hedges that these are "plausible" categories rather than known ones, more explicitly flagging the speculative nature of every entry.</w:t>
      </w:r>
    </w:p>
    <w:p>
      <w:pPr>
        <w:pStyle w:val="Heading1"/>
        <w:spacing w:after="140" w:before="280"/>
      </w:pPr>
      <w:r>
        <w:rPr>
          <w:b/>
          <w:bCs/>
          <w:color w:val="1F4E5F"/>
        </w:rPr>
        <w:t xml:space="preserve">Manufacturing Process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900"/>
        <w:gridCol w:w="2600"/>
      </w:tblGrid>
      <w:tr>
        <w:tc>
          <w:tcPr>
            <w:tcW w:type="dxa" w:w="1700"/>
            <w:shd w:fill="1F4E5F"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Detail</w:t>
            </w:r>
          </w:p>
        </w:tc>
        <w:tc>
          <w:tcPr>
            <w:tcW w:type="dxa" w:w="2800"/>
            <w:shd w:fill="1F4E5F"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AI 1 — Claude</w:t>
            </w:r>
          </w:p>
        </w:tc>
        <w:tc>
          <w:tcPr>
            <w:tcW w:type="dxa" w:w="2900"/>
            <w:shd w:fill="1F4E5F"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AI 2 — Gemini</w:t>
            </w:r>
          </w:p>
        </w:tc>
        <w:tc>
          <w:tcPr>
            <w:tcW w:type="dxa" w:w="2600"/>
            <w:shd w:fill="1F4E5F"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AI 3 — ChatGPT</w:t>
            </w:r>
          </w:p>
        </w:tc>
      </w:tr>
      <w:tr>
        <w:tc>
          <w:tcPr>
            <w:tcW w:type="dxa" w:w="17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Number of stages</w:t>
            </w:r>
          </w:p>
        </w:tc>
        <w:tc>
          <w:tcPr>
            <w:tcW w:type="dxa" w:w="28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5 stages</w:t>
            </w:r>
          </w:p>
        </w:tc>
        <w:tc>
          <w:tcPr>
            <w:tcW w:type="dxa" w:w="29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5 phases</w:t>
            </w:r>
          </w:p>
        </w:tc>
        <w:tc>
          <w:tcPr>
            <w:tcW w:type="dxa" w:w="26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5 stages</w:t>
            </w:r>
          </w:p>
        </w:tc>
      </w:tr>
      <w:tr>
        <w:tc>
          <w:tcPr>
            <w:tcW w:type="dxa" w:w="17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Technical depth</w:t>
            </w:r>
          </w:p>
        </w:tc>
        <w:tc>
          <w:tcPr>
            <w:tcW w:type="dxa" w:w="28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General pharma terms (blend, granulate, compress, coat, pack)</w:t>
            </w:r>
          </w:p>
        </w:tc>
        <w:tc>
          <w:tcPr>
            <w:tcW w:type="dxa" w:w="29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Most technical: negative-pressure booths, high-shear mixer-granulators, fluid-bed drying, perforated coating pans, 2D serialization codes</w:t>
            </w:r>
          </w:p>
        </w:tc>
        <w:tc>
          <w:tcPr>
            <w:tcW w:type="dxa" w:w="26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Most conservative/generic wording ("can include", "depending on formulation")</w:t>
            </w:r>
          </w:p>
        </w:tc>
      </w:tr>
      <w:tr>
        <w:tc>
          <w:tcPr>
            <w:tcW w:type="dxa" w:w="17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Stated bottleneck</w:t>
            </w:r>
          </w:p>
        </w:tc>
        <w:tc>
          <w:tcPr>
            <w:tcW w:type="dxa" w:w="28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QC testing/release of incoming materials and final batch release (lab turnaround, not machine time)</w:t>
            </w:r>
          </w:p>
        </w:tc>
        <w:tc>
          <w:tcPr>
            <w:tcW w:type="dxa" w:w="29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Two-part bottleneck: film coating (a physically rate-limited batch step) plus QA release/quarantine</w:t>
            </w:r>
          </w:p>
        </w:tc>
        <w:tc>
          <w:tcPr>
            <w:tcW w:type="dxa" w:w="26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Quality testing/release and batch documentation, similar reasoning to Claude but also references investigation delays</w:t>
            </w:r>
          </w:p>
        </w:tc>
      </w:tr>
    </w:tbl>
    <w:p>
      <w:pPr>
        <w:pStyle w:val="Heading1"/>
        <w:spacing w:after="140" w:before="280"/>
      </w:pPr>
      <w:r>
        <w:rPr>
          <w:b/>
          <w:bCs/>
          <w:color w:val="1F4E5F"/>
        </w:rPr>
        <w:t xml:space="preserve">Downstream Distribution</w:t>
      </w:r>
    </w:p>
    <w:p>
      <w:pPr>
        <w:pStyle w:val="ListParagraph"/>
        <w:numPr>
          <w:ilvl w:val="0"/>
          <w:numId w:val="1"/>
        </w:numPr>
        <w:spacing w:after="80"/>
      </w:pPr>
      <w:r>
        <w:rPr>
          <w:rFonts w:ascii="Calibri" w:cs="Calibri" w:eastAsia="Calibri" w:hAnsi="Calibri"/>
          <w:sz w:val="22"/>
          <w:szCs w:val="22"/>
        </w:rPr>
        <w:t xml:space="preserve">Claude: DC → distributor/stockist → retail pharmacy → consumer, 3–4 tiers, notes a wholesaler sometimes adds a tier for small-town pharmacies.</w:t>
      </w:r>
    </w:p>
    <w:p>
      <w:pPr>
        <w:pStyle w:val="ListParagraph"/>
        <w:numPr>
          <w:ilvl w:val="0"/>
          <w:numId w:val="1"/>
        </w:numPr>
        <w:spacing w:after="80"/>
      </w:pPr>
      <w:r>
        <w:rPr>
          <w:rFonts w:ascii="Calibri" w:cs="Calibri" w:eastAsia="Calibri" w:hAnsi="Calibri"/>
          <w:sz w:val="22"/>
          <w:szCs w:val="22"/>
        </w:rPr>
        <w:t xml:space="preserve">Gemini: Explicitly fixes the tier count at 4 (Central Warehouse → Regional DCs → Wholesalers/Institutional Distributors → Retail/Hospital Pharmacies → Consumer) and names specific cities (Lahore, Rawalpindi, Multan).</w:t>
      </w:r>
    </w:p>
    <w:p>
      <w:pPr>
        <w:pStyle w:val="ListParagraph"/>
        <w:numPr>
          <w:ilvl w:val="0"/>
          <w:numId w:val="1"/>
        </w:numPr>
        <w:spacing w:after="80"/>
      </w:pPr>
      <w:r>
        <w:rPr>
          <w:rFonts w:ascii="Calibri" w:cs="Calibri" w:eastAsia="Calibri" w:hAnsi="Calibri"/>
          <w:sz w:val="22"/>
          <w:szCs w:val="22"/>
        </w:rPr>
        <w:t xml:space="preserve">ChatGPT: Also describes 3–4 tiers but goes further by explicitly offering a shorter alternate route (Factory → distributor → pharmacy → consumer) alongside the full one, and separately lists regional zones (Karachi/Sindh, Lahore/Punjab, Islamabad/Rawalpindi/northern region).</w:t>
      </w:r>
    </w:p>
    <w:p>
      <w:pPr>
        <w:pStyle w:val="Heading1"/>
        <w:spacing w:after="140" w:before="280"/>
      </w:pPr>
      <w:r>
        <w:rPr>
          <w:b/>
          <w:bCs/>
          <w:color w:val="1F4E5F"/>
        </w:rPr>
        <w:t xml:space="preserve">Information &amp; Financial Flow</w:t>
      </w:r>
    </w:p>
    <w:p>
      <w:pPr>
        <w:spacing w:after="140"/>
      </w:pPr>
      <w:r>
        <w:rPr>
          <w:rFonts w:ascii="Calibri" w:cs="Calibri" w:eastAsia="Calibri" w:hAnsi="Calibri"/>
          <w:sz w:val="22"/>
          <w:szCs w:val="22"/>
        </w:rPr>
        <w:t xml:space="preserve">The three descriptions are broadly aligned in substance (pharmacy sales trigger upstream replenishment; payments flow opposite to goods, generally on short credit terms). ChatGPT is the most explicit, laying out separate step-by-step information-flow and financial-flow chains with arrows; Gemini adds a specific credit-term detail — that international suppliers work on 60–90 day terms, longer than the 15–30 days Claude cites for the same relationship; Claude keeps this section the most compact.</w:t>
      </w:r>
    </w:p>
    <w:p>
      <w:pPr>
        <w:pStyle w:val="Heading1"/>
        <w:spacing w:after="140" w:before="280"/>
      </w:pPr>
      <w:r>
        <w:rPr>
          <w:b/>
          <w:bCs/>
          <w:color w:val="1F4E5F"/>
        </w:rPr>
        <w:t xml:space="preserve">Lead-Time Estimates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2600"/>
      </w:tblGrid>
      <w:tr>
        <w:tc>
          <w:tcPr>
            <w:tcW w:type="dxa" w:w="2200"/>
            <w:shd w:fill="1F4E5F"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
            </w:r>
          </w:p>
        </w:tc>
        <w:tc>
          <w:tcPr>
            <w:tcW w:type="dxa" w:w="2800"/>
            <w:shd w:fill="1F4E5F"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AI 1 — Claude</w:t>
            </w:r>
          </w:p>
        </w:tc>
        <w:tc>
          <w:tcPr>
            <w:tcW w:type="dxa" w:w="2400"/>
            <w:shd w:fill="1F4E5F"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AI 2 — Gemini</w:t>
            </w:r>
          </w:p>
        </w:tc>
        <w:tc>
          <w:tcPr>
            <w:tcW w:type="dxa" w:w="2600"/>
            <w:shd w:fill="1F4E5F"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AI 3 — ChatGPT</w:t>
            </w:r>
          </w:p>
        </w:tc>
      </w:tr>
      <w:tr>
        <w:tc>
          <w:tcPr>
            <w:tcW w:type="dxa" w:w="22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Number of links estimated</w:t>
            </w:r>
          </w:p>
        </w:tc>
        <w:tc>
          <w:tcPr>
            <w:tcW w:type="dxa" w:w="28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6</w:t>
            </w:r>
          </w:p>
        </w:tc>
        <w:tc>
          <w:tcPr>
            <w:tcW w:type="dxa" w:w="24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3 (least granular)</w:t>
            </w:r>
          </w:p>
        </w:tc>
        <w:tc>
          <w:tcPr>
            <w:tcW w:type="dxa" w:w="26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8 (most granular)</w:t>
            </w:r>
          </w:p>
        </w:tc>
      </w:tr>
      <w:tr>
        <w:tc>
          <w:tcPr>
            <w:tcW w:type="dxa" w:w="22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Supplier → factory range</w:t>
            </w:r>
          </w:p>
        </w:tc>
        <w:tc>
          <w:tcPr>
            <w:tcW w:type="dxa" w:w="28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30–60 days (overseas) + 3–7 days (local Tier 1 → factory)</w:t>
            </w:r>
          </w:p>
        </w:tc>
        <w:tc>
          <w:tcPr>
            <w:tcW w:type="dxa" w:w="24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30–75 days (combined)</w:t>
            </w:r>
          </w:p>
        </w:tc>
        <w:tc>
          <w:tcPr>
            <w:tcW w:type="dxa" w:w="26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7–30 days (Tier 2→1) + 7–30 days (Tier 1→factory)</w:t>
            </w:r>
          </w:p>
        </w:tc>
      </w:tr>
      <w:tr>
        <w:tc>
          <w:tcPr>
            <w:tcW w:type="dxa" w:w="22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In-plant time</w:t>
            </w:r>
          </w:p>
        </w:tc>
        <w:tc>
          <w:tcPr>
            <w:tcW w:type="dxa" w:w="28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10–20 days (QC → release)</w:t>
            </w:r>
          </w:p>
        </w:tc>
        <w:tc>
          <w:tcPr>
            <w:tcW w:type="dxa" w:w="24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Not broken out separately</w:t>
            </w:r>
          </w:p>
        </w:tc>
        <w:tc>
          <w:tcPr>
            <w:tcW w:type="dxa" w:w="2600"/>
            <w:shd w:fill="FFFFFF"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2–7 days (receipt→batch) + 3–10 days (mfg→release)</w:t>
            </w:r>
          </w:p>
        </w:tc>
      </w:tr>
      <w:tr>
        <w:tc>
          <w:tcPr>
            <w:tcW w:type="dxa" w:w="22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Factory → DC / final mile</w:t>
            </w:r>
          </w:p>
        </w:tc>
        <w:tc>
          <w:tcPr>
            <w:tcW w:type="dxa" w:w="28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2–5 days, then 1–3, then 1–2 days</w:t>
            </w:r>
          </w:p>
        </w:tc>
        <w:tc>
          <w:tcPr>
            <w:tcW w:type="dxa" w:w="24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3–7 days, then 1–3 days</w:t>
            </w:r>
          </w:p>
        </w:tc>
        <w:tc>
          <w:tcPr>
            <w:tcW w:type="dxa" w:w="2600"/>
            <w:shd w:fill="EAF1F4" w:val="clear"/>
            <w:tcMar>
              <w:top w:type="dxa" w:w="100"/>
              <w:left w:type="dxa" w:w="120"/>
              <w:bottom w:type="dxa" w:w="100"/>
              <w:right w:type="dxa" w:w="120"/>
            </w:tcMar>
            <w:vAlign w:val="top"/>
          </w:tcPr>
          <w:p>
            <w:r>
              <w:rPr>
                <w:rFonts w:ascii="Calibri" w:cs="Calibri" w:eastAsia="Calibri" w:hAnsi="Calibri"/>
                <w:b w:val="false"/>
                <w:bCs w:val="false"/>
                <w:color w:val="222222"/>
                <w:sz w:val="20"/>
                <w:szCs w:val="20"/>
              </w:rPr>
              <w:t xml:space="preserve">1–5 days, then 1–5, then 1–4, then same-day–several days to consumer</w:t>
            </w:r>
          </w:p>
        </w:tc>
      </w:tr>
    </w:tbl>
    <w:p>
      <w:pPr>
        <w:spacing w:after="140"/>
      </w:pPr>
      <w:r>
        <w:rPr>
          <w:rFonts w:ascii="Calibri" w:cs="Calibri" w:eastAsia="Calibri" w:hAnsi="Calibri"/>
          <w:sz w:val="22"/>
          <w:szCs w:val="22"/>
        </w:rPr>
        <w:t xml:space="preserve">ChatGPT's estimates are the most subdivided (splitting Tier 2→Tier 1 from Tier 1→factory, and separating manufacturing execution from release), while Gemini's are the coarsest, collapsing several of Claude's and ChatGPT's steps into single ranges.</w:t>
      </w:r>
    </w:p>
    <w:p>
      <w:pPr>
        <w:pStyle w:val="Heading1"/>
        <w:spacing w:after="140" w:before="280"/>
      </w:pPr>
      <w:r>
        <w:rPr>
          <w:b/>
          <w:bCs/>
          <w:color w:val="1F4E5F"/>
        </w:rPr>
        <w:t xml:space="preserve">Assumptions &amp; Caveats</w:t>
      </w:r>
    </w:p>
    <w:p>
      <w:pPr>
        <w:pStyle w:val="ListParagraph"/>
        <w:numPr>
          <w:ilvl w:val="0"/>
          <w:numId w:val="1"/>
        </w:numPr>
        <w:spacing w:after="80"/>
      </w:pPr>
      <w:r>
        <w:rPr>
          <w:rFonts w:ascii="Calibri" w:cs="Calibri" w:eastAsia="Calibri" w:hAnsi="Calibri"/>
          <w:sz w:val="22"/>
          <w:szCs w:val="22"/>
        </w:rPr>
        <w:t xml:space="preserve">Claude: Explicitly states what was invented vs. inferred, and flags the downstream structure and institutional/hospital channel as the biggest uncertainty.</w:t>
      </w:r>
    </w:p>
    <w:p>
      <w:pPr>
        <w:pStyle w:val="ListParagraph"/>
        <w:numPr>
          <w:ilvl w:val="0"/>
          <w:numId w:val="1"/>
        </w:numPr>
        <w:spacing w:after="80"/>
      </w:pPr>
      <w:r>
        <w:rPr>
          <w:rFonts w:ascii="Calibri" w:cs="Calibri" w:eastAsia="Calibri" w:hAnsi="Calibri"/>
          <w:sz w:val="22"/>
          <w:szCs w:val="22"/>
        </w:rPr>
        <w:t xml:space="preserve">Gemini: Assumes no third-party contract manufacturing and ambient/humidity-controlled (not cold-chain) logistics — which is a mild internal inconsistency, since its own company-context box earlier mentions "cold-chain/ambient distribution."</w:t>
      </w:r>
    </w:p>
    <w:p>
      <w:pPr>
        <w:pStyle w:val="ListParagraph"/>
        <w:numPr>
          <w:ilvl w:val="0"/>
          <w:numId w:val="1"/>
        </w:numPr>
        <w:spacing w:after="80"/>
      </w:pPr>
      <w:r>
        <w:rPr>
          <w:rFonts w:ascii="Calibri" w:cs="Calibri" w:eastAsia="Calibri" w:hAnsi="Calibri"/>
          <w:sz w:val="22"/>
          <w:szCs w:val="22"/>
        </w:rPr>
        <w:t xml:space="preserve">ChatGPT: The most hedged of the three — repeatedly stresses that supplier names and the exact distribution network are unconfirmed, explicitly declines to imply real supplier identities, and points to its cited sources as the only verified facts in the document.</w:t>
      </w:r>
    </w:p>
    <w:p>
      <w:pPr>
        <w:pStyle w:val="Heading1"/>
        <w:spacing w:after="140" w:before="280"/>
      </w:pPr>
      <w:r>
        <w:rPr>
          <w:b/>
          <w:bCs/>
          <w:color w:val="1F4E5F"/>
        </w:rPr>
        <w:t xml:space="preserve">Bottom Line</w:t>
      </w:r>
    </w:p>
    <w:p>
      <w:pPr>
        <w:spacing w:after="140"/>
      </w:pPr>
      <w:r>
        <w:rPr>
          <w:rFonts w:ascii="Calibri" w:cs="Calibri" w:eastAsia="Calibri" w:hAnsi="Calibri"/>
          <w:sz w:val="22"/>
          <w:szCs w:val="22"/>
        </w:rPr>
        <w:t xml:space="preserve">The three maps agree on the overall shape of the supply chain (raw material → Tier 1 converter → Karachi manufacturing → QC/release bottleneck → multi-tier distribution → pharmacy → consumer), but differ in three meaningful ways: (1) factual details about Abbott's plants and scale are not fully consistent across the three (Landhi only vs. Landhi+West Wharf vs. Landhi+Korangi); (2) ChatGPT is the only response grounded in cited, real external sources, while Claude and Gemini rely purely on stated calibration logic; and (3) the level of technical/manufacturing detail and the granularity of lead-time breakdowns vary substantially, with Gemini most technical on process steps, ChatGPT most granular on lead times, and Claude the most concise overall.</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2026-09-09T16:16:36.813Z</dcterms:created>
  <dcterms:modified xsi:type="dcterms:W3CDTF">2026-09-09T16:16:36.813Z</dcterms:modified>
</cp:coreProperties>
</file>

<file path=docProps/custom.xml><?xml version="1.0" encoding="utf-8"?>
<Properties xmlns="http://schemas.openxmlformats.org/officeDocument/2006/custom-properties" xmlns:vt="http://schemas.openxmlformats.org/officeDocument/2006/docPropsVTypes"/>
</file>