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Illustrative Supply Chain Map</w:t>
      </w:r>
    </w:p>
    <w:p>
      <w:pPr>
        <w:spacing w:after="200"/>
      </w:pPr>
      <w:r>
        <w:rPr>
          <w:i/>
          <w:iCs/>
          <w:color w:val="444444"/>
          <w:sz w:val="24"/>
          <w:szCs w:val="24"/>
        </w:rPr>
        <w:t xml:space="preserve">Abbott Laboratories (Pakistan) Limited — Surbex-Z</w:t>
      </w:r>
    </w:p>
    <w:p>
      <w:pPr>
        <w:spacing w:after="160"/>
      </w:pPr>
      <w:r>
        <w:rPr>
          <w:i/>
          <w:iCs/>
          <w:color w:val="555555"/>
        </w:rPr>
        <w:t xml:space="preserve">Calibrated to Abbott Laboratories (Pakistan) Limited's disclosed sector and scale — not actual company supplier, distribution, or process information.</w:t>
      </w:r>
    </w:p>
    <w:p>
      <w:pPr>
        <w:pStyle w:val="Heading1"/>
        <w:spacing w:after="120" w:before="240"/>
      </w:pPr>
      <w:r>
        <w:t xml:space="preserve">Calibration Basis</w:t>
      </w:r>
    </w:p>
    <w:p>
      <w:pPr>
        <w:spacing w:after="160"/>
      </w:pPr>
      <w:r>
        <w:t xml:space="preserve">Abbott Labs Pakistan is a pharmaceutical/nutraceutical manufacturer headquartered in Karachi, with manufacturing at its Landhi, Karachi facility (one of two plants in-country), roughly 1,400 employees, and disclosed revenue in the range of PKR 65–70 billion (~$250–260M). It sells primarily in Pakistan with a regional footprint touching Afghanistan, Sri Lanka, and Bangladesh. Surbex-Z is a multivitamin/mineral supplement (tablet form) — a mature, high-volume OTC/pharma product, not a complex biologic.</w:t>
      </w:r>
    </w:p>
    <w:p>
      <w:pPr>
        <w:pStyle w:val="Heading1"/>
        <w:spacing w:after="120" w:before="240"/>
      </w:pPr>
      <w:r>
        <w:t xml:space="preserve">1. Upstream (Tier 2 &amp; Tier 1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1F4E5F" w:color="auto" w:val="clear"/>
          </w:tcPr>
          <w:p>
            <w:r>
              <w:rPr>
                <w:b/>
                <w:bCs/>
                <w:color w:val="FFFFFF"/>
              </w:rPr>
              <w:t xml:space="preserve">Raw Material Category</w:t>
            </w:r>
          </w:p>
        </w:tc>
        <w:tc>
          <w:tcPr>
            <w:tcW w:type="dxa" w:w="3276"/>
            <w:shd w:fill="1F4E5F" w:color="auto" w:val="clear"/>
          </w:tcPr>
          <w:p>
            <w:r>
              <w:rPr>
                <w:b/>
                <w:bCs/>
                <w:color w:val="FFFFFF"/>
              </w:rPr>
              <w:t xml:space="preserve">Tier 1 Supplier (converts input)</w:t>
            </w:r>
          </w:p>
        </w:tc>
        <w:tc>
          <w:tcPr>
            <w:tcW w:type="dxa" w:w="3276"/>
            <w:shd w:fill="1F4E5F" w:color="auto" w:val="clear"/>
          </w:tcPr>
          <w:p>
            <w:r>
              <w:rPr>
                <w:b/>
                <w:bCs/>
                <w:color w:val="FFFFFF"/>
              </w:rPr>
              <w:t xml:space="preserve">Tier 2 Source (origin)</w:t>
            </w:r>
          </w:p>
        </w:tc>
      </w:tr>
      <w:tr>
        <w:tc>
          <w:tcPr>
            <w:tcW w:type="dxa" w:w="2808"/>
          </w:tcPr>
          <w:p>
            <w:r>
              <w:t xml:space="preserve">Active vitamin/mineral compounds (B-complex vitamins, Vitamin C, Zinc sulfate, etc.)</w:t>
            </w:r>
          </w:p>
        </w:tc>
        <w:tc>
          <w:tcPr>
            <w:tcW w:type="dxa" w:w="3276"/>
          </w:tcPr>
          <w:p>
            <w:r>
              <w:t xml:space="preserve">Bulk pharmaceutical-grade API/excipient importer or formulator (often a Karachi-based pharma raw-material trading house)</w:t>
            </w:r>
          </w:p>
        </w:tc>
        <w:tc>
          <w:tcPr>
            <w:tcW w:type="dxa" w:w="3276"/>
          </w:tcPr>
          <w:p>
            <w:r>
              <w:t xml:space="preserve">Imported — largely China and India, the dominant global producers of bulk vitamins and mineral salts</w:t>
            </w:r>
          </w:p>
        </w:tc>
      </w:tr>
      <w:tr>
        <w:tc>
          <w:tcPr>
            <w:tcW w:type="dxa" w:w="2808"/>
            <w:shd w:fill="F2F2F2" w:color="auto" w:val="clear"/>
          </w:tcPr>
          <w:p>
            <w:r>
              <w:t xml:space="preserve">Tablet excipients (binders, fillers like microcrystalline cellulose, lactose, starch)</w:t>
            </w:r>
          </w:p>
        </w:tc>
        <w:tc>
          <w:tcPr>
            <w:tcW w:type="dxa" w:w="3276"/>
            <w:shd w:fill="F2F2F2" w:color="auto" w:val="clear"/>
          </w:tcPr>
          <w:p>
            <w:r>
              <w:t xml:space="preserve">Local pharma-grade excipient distributor/repacker</w:t>
            </w:r>
          </w:p>
        </w:tc>
        <w:tc>
          <w:tcPr>
            <w:tcW w:type="dxa" w:w="3276"/>
            <w:shd w:fill="F2F2F2" w:color="auto" w:val="clear"/>
          </w:tcPr>
          <w:p>
            <w:r>
              <w:t xml:space="preserve">Mixed — some imported (Europe/India), some domestically sourced starch derivatives</w:t>
            </w:r>
          </w:p>
        </w:tc>
      </w:tr>
      <w:tr>
        <w:tc>
          <w:tcPr>
            <w:tcW w:type="dxa" w:w="2808"/>
          </w:tcPr>
          <w:p>
            <w:r>
              <w:t xml:space="preserve">Primary packaging (blister foil/PVC, aluminum foil)</w:t>
            </w:r>
          </w:p>
        </w:tc>
        <w:tc>
          <w:tcPr>
            <w:tcW w:type="dxa" w:w="3276"/>
          </w:tcPr>
          <w:p>
            <w:r>
              <w:t xml:space="preserve">Domestic pharma packaging converter (blister film and foil printing/laminating unit, likely Karachi-based given industry clustering)</w:t>
            </w:r>
          </w:p>
        </w:tc>
        <w:tc>
          <w:tcPr>
            <w:tcW w:type="dxa" w:w="3276"/>
          </w:tcPr>
          <w:p>
            <w:r>
              <w:t xml:space="preserve">Imported base film/foil resin (PVC resin, aluminum coil) — mostly from Middle East/East Asia, converted locally</w:t>
            </w:r>
          </w:p>
        </w:tc>
      </w:tr>
      <w:tr>
        <w:tc>
          <w:tcPr>
            <w:tcW w:type="dxa" w:w="2808"/>
            <w:shd w:fill="F2F2F2" w:color="auto" w:val="clear"/>
          </w:tcPr>
          <w:p>
            <w:r>
              <w:t xml:space="preserve">Secondary packaging (cartons, inserts, printed labels)</w:t>
            </w:r>
          </w:p>
        </w:tc>
        <w:tc>
          <w:tcPr>
            <w:tcW w:type="dxa" w:w="3276"/>
            <w:shd w:fill="F2F2F2" w:color="auto" w:val="clear"/>
          </w:tcPr>
          <w:p>
            <w:r>
              <w:t xml:space="preserve">Local carton/printing press serving the pharma sector</w:t>
            </w:r>
          </w:p>
        </w:tc>
        <w:tc>
          <w:tcPr>
            <w:tcW w:type="dxa" w:w="3276"/>
            <w:shd w:fill="F2F2F2" w:color="auto" w:val="clear"/>
          </w:tcPr>
          <w:p>
            <w:r>
              <w:t xml:space="preserve">Domestic paperboard mills, supplemented by imported specialty paper/ink</w:t>
            </w:r>
          </w:p>
        </w:tc>
      </w:tr>
    </w:tbl>
    <w:p>
      <w:pPr>
        <w:pStyle w:val="Heading1"/>
        <w:spacing w:after="120" w:before="240"/>
      </w:pPr>
      <w:r>
        <w:t xml:space="preserve">2. Manufacturing (Internal Operations)</w:t>
      </w:r>
    </w:p>
    <w:p>
      <w:pPr>
        <w:pStyle w:val="ListParagraph"/>
        <w:numPr>
          <w:ilvl w:val="0"/>
          <w:numId w:val="1"/>
        </w:numPr>
        <w:spacing w:after="80"/>
      </w:pPr>
      <w:r>
        <w:t xml:space="preserve">Raw material receipt, QC testing &amp; quarantine — incoming APIs and excipients are tested against pharmacopeial standards before release.</w:t>
      </w:r>
    </w:p>
    <w:p>
      <w:pPr>
        <w:pStyle w:val="ListParagraph"/>
        <w:numPr>
          <w:ilvl w:val="0"/>
          <w:numId w:val="1"/>
        </w:numPr>
        <w:spacing w:after="80"/>
      </w:pPr>
      <w:r>
        <w:t xml:space="preserve">Weighing, blending &amp; granulation — active ingredients and excipients are mixed and granulated to ensure uniform dosing.</w:t>
      </w:r>
    </w:p>
    <w:p>
      <w:pPr>
        <w:pStyle w:val="ListParagraph"/>
        <w:numPr>
          <w:ilvl w:val="0"/>
          <w:numId w:val="1"/>
        </w:numPr>
        <w:spacing w:after="80"/>
      </w:pPr>
      <w:r>
        <w:t xml:space="preserve">Tablet compression — granules are compressed into tablets on rotary tablet presses.</w:t>
      </w:r>
    </w:p>
    <w:p>
      <w:pPr>
        <w:pStyle w:val="ListParagraph"/>
        <w:numPr>
          <w:ilvl w:val="0"/>
          <w:numId w:val="1"/>
        </w:numPr>
        <w:spacing w:after="80"/>
      </w:pPr>
      <w:r>
        <w:t xml:space="preserve">Coating (if film-coated) &amp; in-process QC — tablets may be sugar/film coated; sampled continuously for hardness, weight, dissolution.</w:t>
      </w:r>
    </w:p>
    <w:p>
      <w:pPr>
        <w:pStyle w:val="ListParagraph"/>
        <w:numPr>
          <w:ilvl w:val="0"/>
          <w:numId w:val="1"/>
        </w:numPr>
        <w:spacing w:after="80"/>
      </w:pPr>
      <w:r>
        <w:t xml:space="preserve">Blister packing, cartoning &amp; batch release — tablets are blister-packed, cartoned, batch-documented, and released by Quality Assurance for sale.</w:t>
      </w:r>
    </w:p>
    <w:p>
      <w:pPr>
        <w:spacing w:after="160" w:before="120"/>
      </w:pPr>
      <w:r>
        <w:rPr>
          <w:b/>
          <w:bCs/>
        </w:rPr>
        <w:t xml:space="preserve">Likely bottleneck: </w:t>
      </w:r>
      <w:r>
        <w:t xml:space="preserve">Stage 1 (QC testing/release of incoming materials) and the final batch-release step are typically the most time-consuming in pharma manufacturing — not because of physical processing time, but because pharmaceutical QA/QC (potency, dissolution, microbial testing) requires days for lab results and sign-off before material can move forward. This regulatory/quality gate, not the mechanical tableting itself, is usually the true constraint on cycle time.</w:t>
      </w:r>
    </w:p>
    <w:p>
      <w:pPr>
        <w:pStyle w:val="Heading1"/>
        <w:spacing w:after="120" w:before="240"/>
      </w:pPr>
      <w:r>
        <w:t xml:space="preserve">3. Downstream (Distribution to Customer)</w:t>
      </w:r>
    </w:p>
    <w:p>
      <w:pPr>
        <w:spacing w:after="160"/>
      </w:pPr>
      <w:r>
        <w:t xml:space="preserve">Factory (Landhi, Karachi) → Company's own regional distribution/warehousing → third-party pharma distributors/stockists in major cities → retail pharmacies and hospital/institutional channels → end consumer/patient.</w:t>
      </w:r>
    </w:p>
    <w:p>
      <w:pPr>
        <w:spacing w:after="160"/>
      </w:pPr>
      <w:r>
        <w:t xml:space="preserve">This typically runs 3–4 tiers deep: DC → distributor → retail pharmacy → consumer (sometimes a wholesaler sits between distributor and small-town pharmacies, adding a tier).</w:t>
      </w:r>
    </w:p>
    <w:p>
      <w:pPr>
        <w:pStyle w:val="Heading1"/>
        <w:spacing w:after="120" w:before="240"/>
      </w:pPr>
      <w:r>
        <w:t xml:space="preserve">4. Information &amp; Financial Flow</w:t>
      </w:r>
    </w:p>
    <w:p>
      <w:pPr>
        <w:spacing w:after="120"/>
      </w:pPr>
      <w:r>
        <w:rPr>
          <w:b/>
          <w:bCs/>
        </w:rPr>
        <w:t xml:space="preserve">Information flow: </w:t>
      </w:r>
      <w:r>
        <w:t xml:space="preserve">Retail pharmacy sales and stock levels signal replenishment needs to distributors, who consolidate orders upstream to Abbott's regional sales/distribution team, which feeds into the Karachi plant's production planning.</w:t>
      </w:r>
    </w:p>
    <w:p>
      <w:pPr>
        <w:spacing w:after="160"/>
      </w:pPr>
      <w:r>
        <w:rPr>
          <w:b/>
          <w:bCs/>
        </w:rPr>
        <w:t xml:space="preserve">Financial flow: </w:t>
      </w:r>
      <w:r>
        <w:t xml:space="preserve">Distributors typically pay Abbott on short credit terms (e.g., 15–30 days) after receiving stock, while distributors in turn extend shorter credit or cash terms to retail pharmacies, with Abbott's raw-material imports usually requiring advance payment or letters of credit to foreign suppliers.</w:t>
      </w:r>
    </w:p>
    <w:p>
      <w:pPr>
        <w:pStyle w:val="Heading1"/>
        <w:spacing w:after="120" w:before="240"/>
      </w:pPr>
      <w:r>
        <w:t xml:space="preserve">5. Text Diagram</w:t>
      </w:r>
    </w:p>
    <w:p>
      <w:pPr>
        <w:pBdr>
          <w:top w:val="single" w:color="999999" w:sz="4"/>
          <w:bottom w:val="single" w:color="999999" w:sz="4"/>
        </w:pBdr>
        <w:spacing w:after="200"/>
      </w:pPr>
      <w:r>
        <w:rPr>
          <w:i/>
          <w:iCs/>
        </w:rPr>
        <w:t xml:space="preserve">Vitamin/Mineral API Producer (China/India)  →  Local API Importer/Repacker (Tier 1)  →  Abbott Landhi Plant, Karachi  →  Regional Distribution Center  →  Pharma Distributor/Stockist  →  Retail Pharmacy  →  Patient/Consumer</w:t>
      </w:r>
    </w:p>
    <w:p>
      <w:pPr>
        <w:pStyle w:val="Heading1"/>
        <w:spacing w:after="120" w:before="240"/>
      </w:pPr>
      <w:r>
        <w:t xml:space="preserve">6. Lead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2080"/>
        <w:gridCol w:w="3640"/>
      </w:tblGrid>
      <w:tr>
        <w:trPr>
          <w:tblHeader/>
        </w:trPr>
        <w:tc>
          <w:tcPr>
            <w:tcW w:type="dxa" w:w="3640"/>
            <w:shd w:fill="1F4E5F" w:color="auto" w:val="clear"/>
          </w:tcPr>
          <w:p>
            <w:r>
              <w:rPr>
                <w:b/>
                <w:bCs/>
                <w:color w:val="FFFFFF"/>
              </w:rPr>
              <w:t xml:space="preserve">Link</w:t>
            </w:r>
          </w:p>
        </w:tc>
        <w:tc>
          <w:tcPr>
            <w:tcW w:type="dxa" w:w="2080"/>
            <w:shd w:fill="1F4E5F" w:color="auto" w:val="clear"/>
          </w:tcPr>
          <w:p>
            <w:r>
              <w:rPr>
                <w:b/>
                <w:bCs/>
                <w:color w:val="FFFFFF"/>
              </w:rPr>
              <w:t xml:space="preserve">Estimated Lead Time</w:t>
            </w:r>
          </w:p>
        </w:tc>
        <w:tc>
          <w:tcPr>
            <w:tcW w:type="dxa" w:w="3640"/>
            <w:shd w:fill="1F4E5F" w:color="auto" w:val="clear"/>
          </w:tcPr>
          <w:p>
            <w:r>
              <w:rPr>
                <w:b/>
                <w:bCs/>
                <w:color w:val="FFFFFF"/>
              </w:rPr>
              <w:t xml:space="preserve">Reasoning</w:t>
            </w:r>
          </w:p>
        </w:tc>
      </w:tr>
      <w:tr>
        <w:tc>
          <w:tcPr>
            <w:tcW w:type="dxa" w:w="3640"/>
          </w:tcPr>
          <w:p>
            <w:r>
              <w:t xml:space="preserve">Overseas API supplier → Local importer/Tier 1</w:t>
            </w:r>
          </w:p>
        </w:tc>
        <w:tc>
          <w:tcPr>
            <w:tcW w:type="dxa" w:w="2080"/>
          </w:tcPr>
          <w:p>
            <w:r>
              <w:t xml:space="preserve">30–60 days</w:t>
            </w:r>
          </w:p>
        </w:tc>
        <w:tc>
          <w:tcPr>
            <w:tcW w:type="dxa" w:w="3640"/>
          </w:tcPr>
          <w:p>
            <w:r>
              <w:t xml:space="preserve">Sea freight from China/India plus customs clearance for regulated pharma inputs</w:t>
            </w:r>
          </w:p>
        </w:tc>
      </w:tr>
      <w:tr>
        <w:tc>
          <w:tcPr>
            <w:tcW w:type="dxa" w:w="3640"/>
            <w:shd w:fill="F2F2F2" w:color="auto" w:val="clear"/>
          </w:tcPr>
          <w:p>
            <w:r>
              <w:t xml:space="preserve">Local Tier 1 supplier → Karachi factory</w:t>
            </w:r>
          </w:p>
        </w:tc>
        <w:tc>
          <w:tcPr>
            <w:tcW w:type="dxa" w:w="2080"/>
            <w:shd w:fill="F2F2F2" w:color="auto" w:val="clear"/>
          </w:tcPr>
          <w:p>
            <w:r>
              <w:t xml:space="preserve">3–7 days</w:t>
            </w:r>
          </w:p>
        </w:tc>
        <w:tc>
          <w:tcPr>
            <w:tcW w:type="dxa" w:w="3640"/>
            <w:shd w:fill="F2F2F2" w:color="auto" w:val="clear"/>
          </w:tcPr>
          <w:p>
            <w:r>
              <w:t xml:space="preserve">Short domestic trucking distance, but subject to incoming QC hold</w:t>
            </w:r>
          </w:p>
        </w:tc>
      </w:tr>
      <w:tr>
        <w:tc>
          <w:tcPr>
            <w:tcW w:type="dxa" w:w="3640"/>
          </w:tcPr>
          <w:p>
            <w:r>
              <w:t xml:space="preserve">In-plant processing (QC → blend → compress → pack → release)</w:t>
            </w:r>
          </w:p>
        </w:tc>
        <w:tc>
          <w:tcPr>
            <w:tcW w:type="dxa" w:w="2080"/>
          </w:tcPr>
          <w:p>
            <w:r>
              <w:t xml:space="preserve">10–20 days</w:t>
            </w:r>
          </w:p>
        </w:tc>
        <w:tc>
          <w:tcPr>
            <w:tcW w:type="dxa" w:w="3640"/>
          </w:tcPr>
          <w:p>
            <w:r>
              <w:t xml:space="preserve">Dominated by lab-testing and batch-release documentation, not machine time</w:t>
            </w:r>
          </w:p>
        </w:tc>
      </w:tr>
      <w:tr>
        <w:tc>
          <w:tcPr>
            <w:tcW w:type="dxa" w:w="3640"/>
            <w:shd w:fill="F2F2F2" w:color="auto" w:val="clear"/>
          </w:tcPr>
          <w:p>
            <w:r>
              <w:t xml:space="preserve">Factory → Regional DC</w:t>
            </w:r>
          </w:p>
        </w:tc>
        <w:tc>
          <w:tcPr>
            <w:tcW w:type="dxa" w:w="2080"/>
            <w:shd w:fill="F2F2F2" w:color="auto" w:val="clear"/>
          </w:tcPr>
          <w:p>
            <w:r>
              <w:t xml:space="preserve">2–5 days</w:t>
            </w:r>
          </w:p>
        </w:tc>
        <w:tc>
          <w:tcPr>
            <w:tcW w:type="dxa" w:w="3640"/>
            <w:shd w:fill="F2F2F2" w:color="auto" w:val="clear"/>
          </w:tcPr>
          <w:p>
            <w:r>
              <w:t xml:space="preserve">Depends on distance (Karachi to Lahore/Islamabad/Peshawar)</w:t>
            </w:r>
          </w:p>
        </w:tc>
      </w:tr>
      <w:tr>
        <w:tc>
          <w:tcPr>
            <w:tcW w:type="dxa" w:w="3640"/>
          </w:tcPr>
          <w:p>
            <w:r>
              <w:t xml:space="preserve">Regional DC → Distributor/stockist</w:t>
            </w:r>
          </w:p>
        </w:tc>
        <w:tc>
          <w:tcPr>
            <w:tcW w:type="dxa" w:w="2080"/>
          </w:tcPr>
          <w:p>
            <w:r>
              <w:t xml:space="preserve">1–3 days</w:t>
            </w:r>
          </w:p>
        </w:tc>
        <w:tc>
          <w:tcPr>
            <w:tcW w:type="dxa" w:w="3640"/>
          </w:tcPr>
          <w:p>
            <w:r>
              <w:t xml:space="preserve">Local trucking within region</w:t>
            </w:r>
          </w:p>
        </w:tc>
      </w:tr>
      <w:tr>
        <w:tc>
          <w:tcPr>
            <w:tcW w:type="dxa" w:w="3640"/>
            <w:shd w:fill="F2F2F2" w:color="auto" w:val="clear"/>
          </w:tcPr>
          <w:p>
            <w:r>
              <w:t xml:space="preserve">Distributor → Retail pharmacy</w:t>
            </w:r>
          </w:p>
        </w:tc>
        <w:tc>
          <w:tcPr>
            <w:tcW w:type="dxa" w:w="2080"/>
            <w:shd w:fill="F2F2F2" w:color="auto" w:val="clear"/>
          </w:tcPr>
          <w:p>
            <w:r>
              <w:t xml:space="preserve">1–2 days</w:t>
            </w:r>
          </w:p>
        </w:tc>
        <w:tc>
          <w:tcPr>
            <w:tcW w:type="dxa" w:w="3640"/>
            <w:shd w:fill="F2F2F2" w:color="auto" w:val="clear"/>
          </w:tcPr>
          <w:p>
            <w:r>
              <w:t xml:space="preserve">Frequent, small-batch replenishment runs</w:t>
            </w:r>
          </w:p>
        </w:tc>
      </w:tr>
    </w:tbl>
    <w:p>
      <w:pPr>
        <w:pStyle w:val="Heading1"/>
        <w:spacing w:after="120" w:before="240"/>
      </w:pPr>
      <w:r>
        <w:t xml:space="preserve">Assumptions</w:t>
      </w:r>
    </w:p>
    <w:p>
      <w:pPr>
        <w:spacing w:after="160"/>
      </w:pPr>
      <w:r>
        <w:t xml:space="preserve">I assumed a fairly standard oral-tablet pharma manufacturing process because Surbex-Z is a simple, mature multivitamin formulation rather than a complex biologic, and that Abbott sources most active ingredients internationally since Pakistan has limited bulk API production capacity — both reasonable inferences from the pharma sector norm, not disclosed facts. Supplier names, exact plant capacity, batch sizes, and actual contractual lead times are entirely unknown and were not invented. The biggest uncertainty is the downstream structure — real distribution may involve fewer or more intermediaries depending on region, and institutional/hospital sales may follow a very different, more direct channel than retail pharmacy sales. A real internal supply chain map would show named suppliers, actual contract terms, safety stock policies, exact batch/lot sizes, and plant-specific capacity constraints, none of which are publicly disclosed and all of which this illustrative map necessarily simplifies or omits.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2026-09-09T15:44:31.841Z</dcterms:created>
  <dcterms:modified xsi:type="dcterms:W3CDTF">2026-09-09T15:44:31.853Z</dcterms:modified>
</cp:coreProperties>
</file>

<file path=docProps/custom.xml><?xml version="1.0" encoding="utf-8"?>
<Properties xmlns="http://schemas.openxmlformats.org/officeDocument/2006/custom-properties" xmlns:vt="http://schemas.openxmlformats.org/officeDocument/2006/docPropsVTypes"/>
</file>