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F5496"/>
          <w:sz w:val="40"/>
          <w:szCs w:val="40"/>
        </w:rPr>
        <w:t xml:space="preserve">Synthetic Data AI Differences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Comparison of three AI-generated synthetic weekly demand datasets for Surbex-Z</w:t>
      </w:r>
    </w:p>
    <w:p>
      <w:pPr>
        <w:pStyle w:val="Heading1"/>
        <w:spacing w:after="150" w:before="300"/>
      </w:pPr>
      <w:r>
        <w:t xml:space="preserve">Files Compared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AI_1 — Claude: </w:t>
      </w:r>
      <w:r>
        <w:rPr>
          <w:sz w:val="21"/>
          <w:szCs w:val="21"/>
        </w:rPr>
        <w:t xml:space="preserve">AI_1_Claude_Surbex-Z_Synthetic_Weekly_Demand.xlsx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AI_2 — Gemini: </w:t>
      </w:r>
      <w:r>
        <w:rPr>
          <w:sz w:val="21"/>
          <w:szCs w:val="21"/>
        </w:rPr>
        <w:t xml:space="preserve">AI_2_Gemini_Surbex_Z_Weekly_Demand_Dataset.xlsx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AI_3 — ChatGPT: </w:t>
      </w:r>
      <w:r>
        <w:rPr>
          <w:sz w:val="21"/>
          <w:szCs w:val="21"/>
        </w:rPr>
        <w:t xml:space="preserve">AI_3_Chat_GPT_Week_Start_Date_Units_Sold_Unit_Pri.csv</w:t>
      </w:r>
    </w:p>
    <w:p>
      <w:pPr>
        <w:pStyle w:val="Heading1"/>
        <w:spacing w:after="150" w:before="300"/>
      </w:pPr>
      <w:r>
        <w:t xml:space="preserve">Summary</w:t>
      </w:r>
    </w:p>
    <w:p>
      <w:pPr>
        <w:spacing w:after="120"/>
      </w:pPr>
      <w:r>
        <w:t xml:space="preserve">All three files are synthetic weekly demand datasets for the same fictional product, Surbex-Z, built around the same five core columns: Week_Start_Date, Units_Sold, Unit_Price_PKR, Promotion_Flag, and Notes. Despite sharing this structure, the files differ substantially in file format, time period covered, scale of demand and pricing, extra documentation, and level of detail in the notes.</w:t>
      </w:r>
    </w:p>
    <w:p>
      <w:pPr>
        <w:pStyle w:val="Heading1"/>
        <w:spacing w:after="150" w:before="300"/>
      </w:pPr>
      <w:r>
        <w:t xml:space="preserve">Key Differences at a Glance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900"/>
        <w:gridCol w:w="25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AI_1 (Claude)</w:t>
            </w:r>
          </w:p>
        </w:tc>
        <w:tc>
          <w:tcPr>
            <w:tcW w:type="dxa" w:w="2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AI_2 (Gemini)</w:t>
            </w:r>
          </w:p>
        </w:tc>
        <w:tc>
          <w:tcPr>
            <w:tcW w:type="dxa" w:w="2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AI_3 (ChatGPT)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format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.xlsx, 1 sheet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.xlsx, 3 sheets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.csv, single table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Rows of weekly data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104 weeks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103 weeks (+ a Total/Average summary row)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104 weeks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 range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Jan 2024 – 22 Dec 2025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Jan 2025 – 28 Dec 2026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Jan 2024 – 22 Dec 2025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Units sold (min–max)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39,556 – 88,058 (avg ≈ 58,670/wk)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118,500 – 201,500 (avg ≈ 157,200/wk)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53,928 – 93,276 (avg ≈ 67,240/wk)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 price (PKR)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Flat at 185–225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440 – 485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280.00 – 300.10 (rises gradually week to week)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Promotion weeks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 of 104 (≈9%)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of 103 (≈12%)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of 104 (≈12%)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Notes column usage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Sparse — 15 weeks annotated (e.g. "Eid-ul-Fitr week", "Monsoon disruption")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Dense — nearly every week annotated with a specific driver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 — 20 weeks annotated, sometimes combining two reasons (e.g. "Ramadan demand uplift; Retail promotion")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 documentation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— data only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Two additional sheets: "Calibration &amp; Assumptions" (methodology, revenue-share math, limitations) and "Demand Dashboard" (summary KPIs)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— data only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Stated calibration basis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stated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Explicitly tied to Abbott Laboratories Pakistan's reported revenue (~PKR 68.2B), assuming Surbex-Z is ~5% of sales at PKR 440–485/unit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stated</w:t>
            </w:r>
          </w:p>
        </w:tc>
      </w:tr>
    </w:tbl>
    <w:p>
      <w:pPr>
        <w:pStyle w:val="Heading1"/>
        <w:spacing w:after="150" w:before="300"/>
      </w:pPr>
      <w:r>
        <w:t xml:space="preserve">File-by-File Details</w:t>
      </w:r>
    </w:p>
    <w:p>
      <w:pPr>
        <w:pStyle w:val="Heading2"/>
        <w:spacing w:after="120" w:before="250"/>
      </w:pPr>
      <w:r>
        <w:t xml:space="preserve">AI_1 — Claude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 worksheet named "Surbex-Z_Synthetic_Weekly_Deman", no extra tabs or documentation.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Covers 104 weeks from 1 Jan 2024 to 22 Dec 2025.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Lowest sales volumes of the three datasets: units sold range from about 39,600 to 88,000 per week.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Unit price is the lowest and moves in a narrow, mostly flat band (PKR 185–225), changing only occasionally.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Fewest promoted weeks (9 of 104) and the sparsest Notes column (15 non-blank entries), using short single-reason tags like "Promotion", "Eid-ul-Fitr week", "Eid-ul-Adha week", and "Monsoon disruption".</w:t>
      </w:r>
    </w:p>
    <w:p>
      <w:pPr>
        <w:pStyle w:val="Heading2"/>
        <w:spacing w:after="120" w:before="250"/>
      </w:pPr>
      <w:r>
        <w:t xml:space="preserve">AI_2 — Gemini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Three worksheets: "Weekly Demand Data" (the raw series), "Calibration &amp; Assumptions" (a written methodology page), and "Demand Dashboard" (headline KPIs such as total units sold, average/peak/minimum weekly demand, and total promotional weeks).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Covers a different, later window: 103 weeks from 6 Jan 2025 to 28 Dec 2026, plus a final "Total / Average" summary row appended to the data 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By far the largest scale: weekly units sold range from about 118,500 to 201,500 — roughly 2–3x the volumes in the Claude and ChatGPT files.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Highest unit price, held in a narrow band of PKR 440–485, explicitly justified in the Calibration sheet as ~5% of Abbott Laboratories Pakistan's disclosed annual revenue (~PKR 68.2 billion).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 heavily annotated Notes column — almost every single week has a specific explanation (e.g. "Winter flu season baseline high", "Trade discount promotion", "Ramadan pre-stocking trade scheme"), and it separately documents an assumed +6% annual growth trend and 15–35% promotional lift.</w:t>
      </w:r>
    </w:p>
    <w:p>
      <w:pPr>
        <w:pStyle w:val="Heading2"/>
        <w:spacing w:after="120" w:before="250"/>
      </w:pPr>
      <w:r>
        <w:t xml:space="preserve">AI_3 — ChatGPT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as a plain CSV rather than a workbook — no formatting, sheets, or supporting documentation.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Covers the same 104-week window as AI_1: 1 Jan 2024 to 22 Dec 2025.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Mid-range volumes: units sold range from about 53,900 to 93,300 per week, somewhat higher than AI_1 but far below AI_2.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Unit price is distinctive in that it drifts gradually upward week over week (PKR 280.00 to 300.10) rather than staying flat, implying a built-in inflation trend.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12 promoted weeks, and a Notes column used for 20 weeks, occasionally stacking two reasons in one cell (e.g. "Ramadan demand uplift; Retail promotion").</w:t>
      </w:r>
    </w:p>
    <w:p>
      <w:pPr>
        <w:pStyle w:val="Heading1"/>
        <w:spacing w:after="150" w:before="300"/>
      </w:pPr>
      <w:r>
        <w:t xml:space="preserve">Overall Takeaway</w:t>
      </w:r>
    </w:p>
    <w:p>
      <w:pPr>
        <w:spacing w:after="120"/>
      </w:pPr>
      <w:r>
        <w:t xml:space="preserve">All three datasets follow the same basic schema and general seasonal storytelling (promotions, religious holidays, monsoon disruption), but they are not interchangeable. AI_2 (Gemini) is built at a much larger scale, covers a different two-year window, and comes with explicit calibration logic and dashboard sheets that the other two lack. AI_1 (Claude) and AI_3 (ChatGPT) share the same date range and a similar order of magnitude, but differ in pricing behaviour (flat vs. gradually rising) and in how much narrative detail sits in the Notes column.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2026-09-09T16:25:26.362Z</dcterms:created>
  <dcterms:modified xsi:type="dcterms:W3CDTF">2026-09-09T16:25:26.373Z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