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2841" w14:textId="77777777" w:rsidR="00952B69" w:rsidRPr="007A78DD" w:rsidRDefault="00952B69" w:rsidP="00952B69">
      <w:pPr>
        <w:jc w:val="center"/>
        <w:rPr>
          <w:rFonts w:ascii="Times New Roman" w:hAnsi="Times New Roman" w:cs="Times New Roman"/>
        </w:rPr>
      </w:pPr>
      <w:r w:rsidRPr="007A78DD">
        <w:rPr>
          <w:rFonts w:ascii="Times New Roman" w:hAnsi="Times New Roman" w:cs="Times New Roman"/>
          <w:noProof/>
        </w:rPr>
        <w:drawing>
          <wp:inline distT="0" distB="0" distL="0" distR="0" wp14:anchorId="61465BFD" wp14:editId="6343D37F">
            <wp:extent cx="2857500" cy="2857500"/>
            <wp:effectExtent l="0" t="0" r="0" b="0"/>
            <wp:docPr id="1313629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0813" w14:textId="77777777" w:rsidR="00952B69" w:rsidRPr="007A78DD" w:rsidRDefault="00952B69" w:rsidP="00952B6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A78DD">
        <w:rPr>
          <w:rFonts w:ascii="Times New Roman" w:hAnsi="Times New Roman" w:cs="Times New Roman"/>
          <w:b/>
          <w:sz w:val="44"/>
          <w:szCs w:val="44"/>
        </w:rPr>
        <w:t xml:space="preserve">Supply Chain Analytics </w:t>
      </w:r>
    </w:p>
    <w:p w14:paraId="64F39F29" w14:textId="77777777" w:rsidR="00952B69" w:rsidRPr="007A78DD" w:rsidRDefault="00952B69" w:rsidP="00952B6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A78DD">
        <w:rPr>
          <w:rFonts w:ascii="Times New Roman" w:hAnsi="Times New Roman" w:cs="Times New Roman"/>
          <w:b/>
          <w:sz w:val="44"/>
          <w:szCs w:val="44"/>
        </w:rPr>
        <w:t>Fall 2026</w:t>
      </w:r>
    </w:p>
    <w:p w14:paraId="712DD510" w14:textId="77777777" w:rsidR="00952B69" w:rsidRPr="007A78DD" w:rsidRDefault="00952B69" w:rsidP="00952B69">
      <w:pPr>
        <w:rPr>
          <w:rFonts w:ascii="Times New Roman" w:hAnsi="Times New Roman" w:cs="Times New Roman"/>
          <w:b/>
        </w:rPr>
      </w:pPr>
    </w:p>
    <w:p w14:paraId="0653B99B" w14:textId="513C9D02" w:rsidR="00952B69" w:rsidRPr="007A78DD" w:rsidRDefault="00801C6C" w:rsidP="00952B6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ChatGPT</w:t>
      </w:r>
      <w:r w:rsidR="00952B69">
        <w:rPr>
          <w:rFonts w:ascii="Times New Roman" w:hAnsi="Times New Roman" w:cs="Times New Roman"/>
          <w:b/>
          <w:sz w:val="40"/>
          <w:szCs w:val="40"/>
        </w:rPr>
        <w:t xml:space="preserve"> Response</w:t>
      </w:r>
    </w:p>
    <w:p w14:paraId="55042D46" w14:textId="77777777" w:rsidR="00952B69" w:rsidRPr="007A78DD" w:rsidRDefault="00952B69" w:rsidP="00952B6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7A78DD">
        <w:rPr>
          <w:rFonts w:ascii="Times New Roman" w:hAnsi="Times New Roman" w:cs="Times New Roman"/>
          <w:sz w:val="32"/>
          <w:szCs w:val="32"/>
        </w:rPr>
        <w:t>By:</w:t>
      </w:r>
      <w:proofErr w:type="gramEnd"/>
    </w:p>
    <w:p w14:paraId="1C49B897" w14:textId="77777777" w:rsidR="00952B69" w:rsidRPr="007A78DD" w:rsidRDefault="00952B69" w:rsidP="00952B6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A78DD">
        <w:rPr>
          <w:rFonts w:ascii="Times New Roman" w:hAnsi="Times New Roman" w:cs="Times New Roman"/>
          <w:b/>
          <w:bCs/>
          <w:sz w:val="40"/>
          <w:szCs w:val="40"/>
        </w:rPr>
        <w:t>Faria Zulfiqar</w:t>
      </w:r>
    </w:p>
    <w:p w14:paraId="533B2A62" w14:textId="77777777" w:rsidR="00952B69" w:rsidRPr="007A78DD" w:rsidRDefault="00952B69" w:rsidP="00952B6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A78DD">
        <w:rPr>
          <w:rFonts w:ascii="Times New Roman" w:hAnsi="Times New Roman" w:cs="Times New Roman"/>
          <w:b/>
          <w:bCs/>
          <w:sz w:val="40"/>
          <w:szCs w:val="40"/>
        </w:rPr>
        <w:t>ERP ID 28774</w:t>
      </w:r>
    </w:p>
    <w:p w14:paraId="1FD5CDEA" w14:textId="77777777" w:rsidR="00952B69" w:rsidRPr="007A78DD" w:rsidRDefault="00952B69" w:rsidP="00952B6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A78DD">
        <w:rPr>
          <w:rFonts w:ascii="Times New Roman" w:hAnsi="Times New Roman" w:cs="Times New Roman"/>
          <w:b/>
          <w:bCs/>
          <w:sz w:val="40"/>
          <w:szCs w:val="40"/>
        </w:rPr>
        <w:t>Instructor: Mr. Faisal Jalal</w:t>
      </w:r>
    </w:p>
    <w:p w14:paraId="68495B74" w14:textId="77777777" w:rsidR="00952B69" w:rsidRPr="007A78DD" w:rsidRDefault="00952B69" w:rsidP="00952B6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78DD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0328C7BF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lastRenderedPageBreak/>
        <w:t>Illustrative supply chain map, calibrated to Abbott Laboratories (Pakistan) Limited's disclosed sector and scale — not actual company supplier, distribution, or process information.</w:t>
      </w:r>
    </w:p>
    <w:p w14:paraId="4E83A282" w14:textId="77777777" w:rsidR="00801C6C" w:rsidRPr="00801C6C" w:rsidRDefault="00801C6C" w:rsidP="00801C6C">
      <w:pPr>
        <w:rPr>
          <w:b/>
          <w:bCs/>
          <w:lang w:val="en-PK"/>
        </w:rPr>
      </w:pPr>
      <w:proofErr w:type="spellStart"/>
      <w:r w:rsidRPr="00801C6C">
        <w:rPr>
          <w:b/>
          <w:bCs/>
          <w:lang w:val="en-PK"/>
        </w:rPr>
        <w:t>Surbex</w:t>
      </w:r>
      <w:proofErr w:type="spellEnd"/>
      <w:r w:rsidRPr="00801C6C">
        <w:rPr>
          <w:b/>
          <w:bCs/>
          <w:lang w:val="en-PK"/>
        </w:rPr>
        <w:t>-Z — Illustrative End-to-End Supply Chain Map</w:t>
      </w:r>
    </w:p>
    <w:p w14:paraId="2AFE30F1" w14:textId="45ADC179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drawing>
          <wp:inline distT="0" distB="0" distL="0" distR="0" wp14:anchorId="6842BF33" wp14:editId="22C3732A">
            <wp:extent cx="5731510" cy="7279005"/>
            <wp:effectExtent l="0" t="0" r="2540" b="0"/>
            <wp:docPr id="2652303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7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8649D" w14:textId="2F75E620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lastRenderedPageBreak/>
        <w:drawing>
          <wp:inline distT="0" distB="0" distL="0" distR="0" wp14:anchorId="63ADF7B1" wp14:editId="1606ED1F">
            <wp:extent cx="5731510" cy="2760980"/>
            <wp:effectExtent l="0" t="0" r="2540" b="1270"/>
            <wp:docPr id="632719809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DDC8" w14:textId="6B42EA11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drawing>
          <wp:inline distT="0" distB="0" distL="0" distR="0" wp14:anchorId="24043E48" wp14:editId="50A1D3B0">
            <wp:extent cx="5731510" cy="3823970"/>
            <wp:effectExtent l="0" t="0" r="2540" b="5080"/>
            <wp:docPr id="206114761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4082" w14:textId="48FE01ED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lastRenderedPageBreak/>
        <w:drawing>
          <wp:inline distT="0" distB="0" distL="0" distR="0" wp14:anchorId="51D62918" wp14:editId="19CC2D99">
            <wp:extent cx="3308350" cy="3270250"/>
            <wp:effectExtent l="0" t="0" r="6350" b="6350"/>
            <wp:docPr id="210968804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A900" w14:textId="75900EE2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drawing>
          <wp:inline distT="0" distB="0" distL="0" distR="0" wp14:anchorId="1FF36EDD" wp14:editId="78E7F432">
            <wp:extent cx="5731510" cy="2444115"/>
            <wp:effectExtent l="0" t="0" r="2540" b="0"/>
            <wp:docPr id="96148108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41C73" w14:textId="48B212DD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lastRenderedPageBreak/>
        <w:drawing>
          <wp:inline distT="0" distB="0" distL="0" distR="0" wp14:anchorId="58F0D266" wp14:editId="2BD5EB56">
            <wp:extent cx="4572000" cy="3048000"/>
            <wp:effectExtent l="0" t="0" r="0" b="0"/>
            <wp:docPr id="53382124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42B24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Company context</w:t>
      </w:r>
    </w:p>
    <w:p w14:paraId="0B27C2DF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Abbott Laboratories (Pakistan) Limited is a </w:t>
      </w:r>
      <w:r w:rsidRPr="00801C6C">
        <w:rPr>
          <w:b/>
          <w:bCs/>
          <w:lang w:val="en-PK"/>
        </w:rPr>
        <w:t>pharmaceutical company listed on the Pakistan Stock Exchange (ABOT)</w:t>
      </w:r>
      <w:r w:rsidRPr="00801C6C">
        <w:rPr>
          <w:lang w:val="en-PK"/>
        </w:rPr>
        <w:t>. Its disclosed business includes the manufacture, import and marketing of branded generic pharmaceuticals, nutritional and other healthcare products. (</w:t>
      </w:r>
      <w:hyperlink r:id="rId12" w:tooltip="ABOT - Stock quote for Abbott Laboratories (Pakistan) Limited - Pakistan Stock Exchange (PSX)" w:history="1">
        <w:r w:rsidRPr="00801C6C">
          <w:rPr>
            <w:rStyle w:val="Hyperlink"/>
            <w:lang w:val="en-PK"/>
          </w:rPr>
          <w:t>DPS PSX</w:t>
        </w:r>
      </w:hyperlink>
      <w:r w:rsidRPr="00801C6C">
        <w:rPr>
          <w:lang w:val="en-PK"/>
        </w:rPr>
        <w:t>)</w:t>
      </w:r>
    </w:p>
    <w:p w14:paraId="0F6BA0BC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Abbott Pakistan has disclosed manufacturing facilities in </w:t>
      </w:r>
      <w:r w:rsidRPr="00801C6C">
        <w:rPr>
          <w:b/>
          <w:bCs/>
          <w:lang w:val="en-PK"/>
        </w:rPr>
        <w:t>Landhi and Korangi, Karachi</w:t>
      </w:r>
      <w:r w:rsidRPr="00801C6C">
        <w:rPr>
          <w:lang w:val="en-PK"/>
        </w:rPr>
        <w:t>. (</w:t>
      </w:r>
      <w:hyperlink r:id="rId13" w:tooltip="AbbottEmpowering" w:history="1">
        <w:r w:rsidRPr="00801C6C">
          <w:rPr>
            <w:rStyle w:val="Hyperlink"/>
            <w:lang w:val="en-PK"/>
          </w:rPr>
          <w:t>Abbott</w:t>
        </w:r>
      </w:hyperlink>
      <w:r w:rsidRPr="00801C6C">
        <w:rPr>
          <w:lang w:val="en-PK"/>
        </w:rPr>
        <w:t xml:space="preserve">) </w:t>
      </w:r>
      <w:proofErr w:type="spellStart"/>
      <w:r w:rsidRPr="00801C6C">
        <w:rPr>
          <w:lang w:val="en-PK"/>
        </w:rPr>
        <w:t>Surbex</w:t>
      </w:r>
      <w:proofErr w:type="spellEnd"/>
      <w:r w:rsidRPr="00801C6C">
        <w:rPr>
          <w:lang w:val="en-PK"/>
        </w:rPr>
        <w:t>-Z is also documented as one of Abbott Pakistan's pharmaceutical products. (</w:t>
      </w:r>
      <w:hyperlink r:id="rId14" w:tooltip="ABBOTT PAKISTAN 2017 ANNUAL REPORT" w:history="1">
        <w:r w:rsidRPr="00801C6C">
          <w:rPr>
            <w:rStyle w:val="Hyperlink"/>
            <w:lang w:val="en-PK"/>
          </w:rPr>
          <w:t>Pakistan Stock Exchange</w:t>
        </w:r>
      </w:hyperlink>
      <w:r w:rsidRPr="00801C6C">
        <w:rPr>
          <w:lang w:val="en-PK"/>
        </w:rPr>
        <w:t>) The company's 2025 annual report describes its operations as serving healthcare needs across Pakistan and refers to its distributors, healthcare professionals and other partners. (</w:t>
      </w:r>
      <w:hyperlink r:id="rId15" w:tooltip="Abbott Pakistan / 2025 Annual Report" w:history="1">
        <w:r w:rsidRPr="00801C6C">
          <w:rPr>
            <w:rStyle w:val="Hyperlink"/>
            <w:lang w:val="en-PK"/>
          </w:rPr>
          <w:t>DPS PSX</w:t>
        </w:r>
      </w:hyperlink>
      <w:r w:rsidRPr="00801C6C">
        <w:rPr>
          <w:lang w:val="en-PK"/>
        </w:rPr>
        <w:t>)</w:t>
      </w:r>
    </w:p>
    <w:p w14:paraId="2F01F6DC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pict w14:anchorId="29C48326">
          <v:rect id="_x0000_i1103" style="width:0;height:1.5pt" o:hralign="center" o:hrstd="t" o:hr="t" fillcolor="#a0a0a0" stroked="f"/>
        </w:pict>
      </w:r>
    </w:p>
    <w:p w14:paraId="79680FFD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1. UPSTREAM — Tier 2 and Tier 1 Suppliers</w:t>
      </w:r>
    </w:p>
    <w:p w14:paraId="283A5459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Because Abbott does </w:t>
      </w:r>
      <w:r w:rsidRPr="00801C6C">
        <w:rPr>
          <w:b/>
          <w:bCs/>
          <w:lang w:val="en-PK"/>
        </w:rPr>
        <w:t xml:space="preserve">not publicly disclose the individual suppliers for </w:t>
      </w:r>
      <w:proofErr w:type="spellStart"/>
      <w:r w:rsidRPr="00801C6C">
        <w:rPr>
          <w:b/>
          <w:bCs/>
          <w:lang w:val="en-PK"/>
        </w:rPr>
        <w:t>Surbex</w:t>
      </w:r>
      <w:proofErr w:type="spellEnd"/>
      <w:r w:rsidRPr="00801C6C">
        <w:rPr>
          <w:b/>
          <w:bCs/>
          <w:lang w:val="en-PK"/>
        </w:rPr>
        <w:t>-Z</w:t>
      </w:r>
      <w:r w:rsidRPr="00801C6C">
        <w:rPr>
          <w:lang w:val="en-PK"/>
        </w:rPr>
        <w:t xml:space="preserve">, the following are </w:t>
      </w:r>
      <w:r w:rsidRPr="00801C6C">
        <w:rPr>
          <w:b/>
          <w:bCs/>
          <w:lang w:val="en-PK"/>
        </w:rPr>
        <w:t>plausible supplier categories</w:t>
      </w:r>
      <w:r w:rsidRPr="00801C6C">
        <w:rPr>
          <w:lang w:val="en-PK"/>
        </w:rPr>
        <w:t>, rather than named actual suppliers.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2137"/>
        <w:gridCol w:w="2450"/>
        <w:gridCol w:w="1601"/>
      </w:tblGrid>
      <w:tr w:rsidR="00801C6C" w:rsidRPr="00801C6C" w14:paraId="15008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2A27C" w14:textId="77777777" w:rsidR="00801C6C" w:rsidRPr="00801C6C" w:rsidRDefault="00801C6C" w:rsidP="00801C6C">
            <w:pPr>
              <w:rPr>
                <w:b/>
                <w:bCs/>
                <w:lang w:val="en-PK"/>
              </w:rPr>
            </w:pPr>
            <w:r w:rsidRPr="00801C6C">
              <w:rPr>
                <w:b/>
                <w:bCs/>
                <w:lang w:val="en-PK"/>
              </w:rPr>
              <w:t>Input category</w:t>
            </w:r>
          </w:p>
        </w:tc>
        <w:tc>
          <w:tcPr>
            <w:tcW w:w="0" w:type="auto"/>
            <w:vAlign w:val="center"/>
            <w:hideMark/>
          </w:tcPr>
          <w:p w14:paraId="25E06C2E" w14:textId="77777777" w:rsidR="00801C6C" w:rsidRPr="00801C6C" w:rsidRDefault="00801C6C" w:rsidP="00801C6C">
            <w:pPr>
              <w:rPr>
                <w:b/>
                <w:bCs/>
                <w:lang w:val="en-PK"/>
              </w:rPr>
            </w:pPr>
            <w:r w:rsidRPr="00801C6C">
              <w:rPr>
                <w:b/>
                <w:bCs/>
                <w:lang w:val="en-PK"/>
              </w:rPr>
              <w:t>Tier 2 — likely origin</w:t>
            </w:r>
          </w:p>
        </w:tc>
        <w:tc>
          <w:tcPr>
            <w:tcW w:w="0" w:type="auto"/>
            <w:vAlign w:val="center"/>
            <w:hideMark/>
          </w:tcPr>
          <w:p w14:paraId="2DA2E13A" w14:textId="77777777" w:rsidR="00801C6C" w:rsidRPr="00801C6C" w:rsidRDefault="00801C6C" w:rsidP="00801C6C">
            <w:pPr>
              <w:rPr>
                <w:b/>
                <w:bCs/>
                <w:lang w:val="en-PK"/>
              </w:rPr>
            </w:pPr>
            <w:r w:rsidRPr="00801C6C">
              <w:rPr>
                <w:b/>
                <w:bCs/>
                <w:lang w:val="en-PK"/>
              </w:rPr>
              <w:t>Tier 1 — supplier type</w:t>
            </w:r>
          </w:p>
        </w:tc>
        <w:tc>
          <w:tcPr>
            <w:tcW w:w="0" w:type="auto"/>
            <w:vAlign w:val="center"/>
            <w:hideMark/>
          </w:tcPr>
          <w:p w14:paraId="5CA7309B" w14:textId="77777777" w:rsidR="00801C6C" w:rsidRPr="00801C6C" w:rsidRDefault="00801C6C" w:rsidP="00801C6C">
            <w:pPr>
              <w:rPr>
                <w:b/>
                <w:bCs/>
                <w:lang w:val="en-PK"/>
              </w:rPr>
            </w:pPr>
            <w:r w:rsidRPr="00801C6C">
              <w:rPr>
                <w:b/>
                <w:bCs/>
                <w:lang w:val="en-PK"/>
              </w:rPr>
              <w:t>Input supplied to Abbott</w:t>
            </w:r>
          </w:p>
        </w:tc>
      </w:tr>
      <w:tr w:rsidR="00801C6C" w:rsidRPr="00801C6C" w14:paraId="246DE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63D1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Active pharmaceutical/nutritional ingredients</w:t>
            </w:r>
            <w:r w:rsidRPr="00801C6C">
              <w:rPr>
                <w:lang w:val="en-PK"/>
              </w:rPr>
              <w:t xml:space="preserve"> — vitamins, zinc compound </w:t>
            </w:r>
            <w:r w:rsidRPr="00801C6C">
              <w:rPr>
                <w:lang w:val="en-PK"/>
              </w:rPr>
              <w:lastRenderedPageBreak/>
              <w:t>and other formulation ingredients</w:t>
            </w:r>
          </w:p>
        </w:tc>
        <w:tc>
          <w:tcPr>
            <w:tcW w:w="0" w:type="auto"/>
            <w:vAlign w:val="center"/>
            <w:hideMark/>
          </w:tcPr>
          <w:p w14:paraId="04F53C18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lastRenderedPageBreak/>
              <w:t xml:space="preserve">Specialized chemical/API producers in Pakistan and/or overseas markets </w:t>
            </w:r>
            <w:r w:rsidRPr="00801C6C">
              <w:rPr>
                <w:lang w:val="en-PK"/>
              </w:rPr>
              <w:lastRenderedPageBreak/>
              <w:t>such as China, India or Europe</w:t>
            </w:r>
          </w:p>
        </w:tc>
        <w:tc>
          <w:tcPr>
            <w:tcW w:w="0" w:type="auto"/>
            <w:vAlign w:val="center"/>
            <w:hideMark/>
          </w:tcPr>
          <w:p w14:paraId="4F0F1F2A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lastRenderedPageBreak/>
              <w:t>Pharmaceutical-grade API/nutraceutical ingredient supplier or importer</w:t>
            </w:r>
          </w:p>
        </w:tc>
        <w:tc>
          <w:tcPr>
            <w:tcW w:w="0" w:type="auto"/>
            <w:vAlign w:val="center"/>
            <w:hideMark/>
          </w:tcPr>
          <w:p w14:paraId="122B5BD0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Purified, tested ingredients meeting pharmaceutic</w:t>
            </w:r>
            <w:r w:rsidRPr="00801C6C">
              <w:rPr>
                <w:lang w:val="en-PK"/>
              </w:rPr>
              <w:lastRenderedPageBreak/>
              <w:t>al specifications</w:t>
            </w:r>
          </w:p>
        </w:tc>
      </w:tr>
      <w:tr w:rsidR="00801C6C" w:rsidRPr="00801C6C" w14:paraId="5E594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E770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lastRenderedPageBreak/>
              <w:t>Excipients</w:t>
            </w:r>
            <w:r w:rsidRPr="00801C6C">
              <w:rPr>
                <w:lang w:val="en-PK"/>
              </w:rPr>
              <w:t xml:space="preserve"> — binders, fillers, lubricants, disintegrants, etc.</w:t>
            </w:r>
          </w:p>
        </w:tc>
        <w:tc>
          <w:tcPr>
            <w:tcW w:w="0" w:type="auto"/>
            <w:vAlign w:val="center"/>
            <w:hideMark/>
          </w:tcPr>
          <w:p w14:paraId="76116AD5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Chemical/raw-material producers, domestic or international</w:t>
            </w:r>
          </w:p>
        </w:tc>
        <w:tc>
          <w:tcPr>
            <w:tcW w:w="0" w:type="auto"/>
            <w:vAlign w:val="center"/>
            <w:hideMark/>
          </w:tcPr>
          <w:p w14:paraId="153C6198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Pharmaceutical excipient distributor/manufacturer</w:t>
            </w:r>
          </w:p>
        </w:tc>
        <w:tc>
          <w:tcPr>
            <w:tcW w:w="0" w:type="auto"/>
            <w:vAlign w:val="center"/>
            <w:hideMark/>
          </w:tcPr>
          <w:p w14:paraId="4878D391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Formulation-grade excipients</w:t>
            </w:r>
          </w:p>
        </w:tc>
      </w:tr>
      <w:tr w:rsidR="00801C6C" w:rsidRPr="00801C6C" w14:paraId="767ED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10F6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Primary packaging</w:t>
            </w:r>
            <w:r w:rsidRPr="00801C6C">
              <w:rPr>
                <w:lang w:val="en-PK"/>
              </w:rPr>
              <w:t xml:space="preserve"> — blister foil/PVC or equivalent tablet packaging materials</w:t>
            </w:r>
          </w:p>
        </w:tc>
        <w:tc>
          <w:tcPr>
            <w:tcW w:w="0" w:type="auto"/>
            <w:vAlign w:val="center"/>
            <w:hideMark/>
          </w:tcPr>
          <w:p w14:paraId="1AA66D82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Aluminium/PVC/resin producers, potentially domestic or imported</w:t>
            </w:r>
          </w:p>
        </w:tc>
        <w:tc>
          <w:tcPr>
            <w:tcW w:w="0" w:type="auto"/>
            <w:vAlign w:val="center"/>
            <w:hideMark/>
          </w:tcPr>
          <w:p w14:paraId="7DC3DA48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Pharmaceutical packaging-material converter</w:t>
            </w:r>
          </w:p>
        </w:tc>
        <w:tc>
          <w:tcPr>
            <w:tcW w:w="0" w:type="auto"/>
            <w:vAlign w:val="center"/>
            <w:hideMark/>
          </w:tcPr>
          <w:p w14:paraId="5D99F5FD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Pre-formed/printed packaging material suitable for tablets</w:t>
            </w:r>
          </w:p>
        </w:tc>
      </w:tr>
      <w:tr w:rsidR="00801C6C" w:rsidRPr="00801C6C" w14:paraId="007B3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3424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Secondary packaging</w:t>
            </w:r>
            <w:r w:rsidRPr="00801C6C">
              <w:rPr>
                <w:lang w:val="en-PK"/>
              </w:rPr>
              <w:t xml:space="preserve"> — cartons, leaflets and labels</w:t>
            </w:r>
          </w:p>
        </w:tc>
        <w:tc>
          <w:tcPr>
            <w:tcW w:w="0" w:type="auto"/>
            <w:vAlign w:val="center"/>
            <w:hideMark/>
          </w:tcPr>
          <w:p w14:paraId="0B613C19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Paperboard, paper and printing-material producers</w:t>
            </w:r>
          </w:p>
        </w:tc>
        <w:tc>
          <w:tcPr>
            <w:tcW w:w="0" w:type="auto"/>
            <w:vAlign w:val="center"/>
            <w:hideMark/>
          </w:tcPr>
          <w:p w14:paraId="2C4B37AA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Pharmaceutical packaging/printing converter</w:t>
            </w:r>
          </w:p>
        </w:tc>
        <w:tc>
          <w:tcPr>
            <w:tcW w:w="0" w:type="auto"/>
            <w:vAlign w:val="center"/>
            <w:hideMark/>
          </w:tcPr>
          <w:p w14:paraId="5CA35185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Printed cartons, labels and patient information material</w:t>
            </w:r>
          </w:p>
        </w:tc>
      </w:tr>
    </w:tbl>
    <w:p w14:paraId="10F559BE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How this would work</w:t>
      </w:r>
    </w:p>
    <w:p w14:paraId="2F808480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For example:</w:t>
      </w:r>
    </w:p>
    <w:p w14:paraId="7067E37F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Chemical/mineral source → pharmaceutical ingredient processor/importer → Abbott</w:t>
      </w:r>
    </w:p>
    <w:p w14:paraId="5C8F8226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and:</w:t>
      </w:r>
    </w:p>
    <w:p w14:paraId="0880C98B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Paperboard/aluminium/PVC producer → packaging converter → Abbott</w:t>
      </w:r>
    </w:p>
    <w:p w14:paraId="4FC095E3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The important distinction for your project is that </w:t>
      </w:r>
      <w:r w:rsidRPr="00801C6C">
        <w:rPr>
          <w:b/>
          <w:bCs/>
          <w:lang w:val="en-PK"/>
        </w:rPr>
        <w:t>Tier 2 supplies the underlying raw material</w:t>
      </w:r>
      <w:r w:rsidRPr="00801C6C">
        <w:rPr>
          <w:lang w:val="en-PK"/>
        </w:rPr>
        <w:t xml:space="preserve">, while </w:t>
      </w:r>
      <w:r w:rsidRPr="00801C6C">
        <w:rPr>
          <w:b/>
          <w:bCs/>
          <w:lang w:val="en-PK"/>
        </w:rPr>
        <w:t>Tier 1 converts or prepares that material into a specification Abbott can directly use</w:t>
      </w:r>
      <w:r w:rsidRPr="00801C6C">
        <w:rPr>
          <w:lang w:val="en-PK"/>
        </w:rPr>
        <w:t>.</w:t>
      </w:r>
    </w:p>
    <w:p w14:paraId="2A430EBE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pict w14:anchorId="72E81873">
          <v:rect id="_x0000_i1104" style="width:0;height:1.5pt" o:hralign="center" o:hrstd="t" o:hr="t" fillcolor="#a0a0a0" stroked="f"/>
        </w:pict>
      </w:r>
    </w:p>
    <w:p w14:paraId="69994A5D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 xml:space="preserve">2. MANUFACTURING — Abbott → </w:t>
      </w:r>
      <w:proofErr w:type="spellStart"/>
      <w:r w:rsidRPr="00801C6C">
        <w:rPr>
          <w:b/>
          <w:bCs/>
          <w:lang w:val="en-PK"/>
        </w:rPr>
        <w:t>Surbex</w:t>
      </w:r>
      <w:proofErr w:type="spellEnd"/>
      <w:r w:rsidRPr="00801C6C">
        <w:rPr>
          <w:b/>
          <w:bCs/>
          <w:lang w:val="en-PK"/>
        </w:rPr>
        <w:t>-Z</w:t>
      </w:r>
    </w:p>
    <w:p w14:paraId="38C6CC98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A plausible manufacturing sequence for a vitamin/mineral tablet such as </w:t>
      </w:r>
      <w:proofErr w:type="spellStart"/>
      <w:r w:rsidRPr="00801C6C">
        <w:rPr>
          <w:lang w:val="en-PK"/>
        </w:rPr>
        <w:t>Surbex</w:t>
      </w:r>
      <w:proofErr w:type="spellEnd"/>
      <w:r w:rsidRPr="00801C6C">
        <w:rPr>
          <w:lang w:val="en-PK"/>
        </w:rPr>
        <w:t>-Z would be:</w:t>
      </w:r>
    </w:p>
    <w:p w14:paraId="3DA3B1E5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lastRenderedPageBreak/>
        <w:t>Stage 1 — Raw-material receipt and quality testing</w:t>
      </w:r>
    </w:p>
    <w:p w14:paraId="4BEC6D64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Ingredients and packaging materials arrive at the manufacturing facility. Samples are tested/released by quality-control procedures before being used.</w:t>
      </w:r>
    </w:p>
    <w:p w14:paraId="482D6EF1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↓</w:t>
      </w:r>
    </w:p>
    <w:p w14:paraId="1205F6AF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Stage 2 — Weighing and dispensing</w:t>
      </w:r>
    </w:p>
    <w:p w14:paraId="09D556F8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Required quantities of vitamins, minerals and excipients are accurately weighed according to the approved formulation/batch instructions.</w:t>
      </w:r>
    </w:p>
    <w:p w14:paraId="58760ED5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↓</w:t>
      </w:r>
    </w:p>
    <w:p w14:paraId="4423D7B2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Stage 3 — Blending / granulation</w:t>
      </w:r>
    </w:p>
    <w:p w14:paraId="2E16AB18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The formulation ingredients are mixed to achieve a sufficiently uniform distribution of the active ingredients. Depending on the formulation and manufacturing method, granulation and drying may be used to obtain appropriate tablet-processing characteristics.</w:t>
      </w:r>
    </w:p>
    <w:p w14:paraId="36AE92FB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↓</w:t>
      </w:r>
    </w:p>
    <w:p w14:paraId="62498A29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Stage 4 — Tablet compression and quality checks</w:t>
      </w:r>
    </w:p>
    <w:p w14:paraId="3A464513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The prepared blend is compressed into tablets. In-process checks can include tablet weight, hardness, dimensions and other quality parameters.</w:t>
      </w:r>
    </w:p>
    <w:p w14:paraId="34D4BF3F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↓</w:t>
      </w:r>
    </w:p>
    <w:p w14:paraId="60B9A974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Stage 5 — Packaging, inspection and release</w:t>
      </w:r>
    </w:p>
    <w:p w14:paraId="4DA6B19D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Finished tablets are packaged, labelled/coded, inspected and subjected to final quality assurance before being released for distribution.</w:t>
      </w:r>
    </w:p>
    <w:p w14:paraId="0EF8B226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Most likely bottleneck</w:t>
      </w:r>
    </w:p>
    <w:p w14:paraId="75D714AC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Quality testing/release and batch processing are the strongest candidates for the bottleneck.</w:t>
      </w:r>
    </w:p>
    <w:p w14:paraId="57410584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Pharmaceutical manufacturing cannot simply move products forward as quickly as possible: raw materials, intermediate materials and finished batches </w:t>
      </w:r>
      <w:proofErr w:type="gramStart"/>
      <w:r w:rsidRPr="00801C6C">
        <w:rPr>
          <w:lang w:val="en-PK"/>
        </w:rPr>
        <w:t>have to</w:t>
      </w:r>
      <w:proofErr w:type="gramEnd"/>
      <w:r w:rsidRPr="00801C6C">
        <w:rPr>
          <w:lang w:val="en-PK"/>
        </w:rPr>
        <w:t xml:space="preserve"> satisfy specified quality requirements. A delay in testing, investigation, documentation or batch release can therefore hold up the downstream supply chain even if physical manufacturing capacity is available.</w:t>
      </w:r>
    </w:p>
    <w:p w14:paraId="747D7CAE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pict w14:anchorId="4CFEF733">
          <v:rect id="_x0000_i1105" style="width:0;height:1.5pt" o:hralign="center" o:hrstd="t" o:hr="t" fillcolor="#a0a0a0" stroked="f"/>
        </w:pict>
      </w:r>
    </w:p>
    <w:p w14:paraId="0D25165A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3. DOWNSTREAM — Factory → Customer</w:t>
      </w:r>
    </w:p>
    <w:p w14:paraId="62D726FA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A plausible Pakistani distribution structure would look like:</w:t>
      </w:r>
    </w:p>
    <w:p w14:paraId="72FF2C12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lastRenderedPageBreak/>
        <w:t>Abbott manufacturing facility → distribution/warehouse operation → regional distributor/wholesaler → pharmacy/retail outlet → consumer</w:t>
      </w:r>
    </w:p>
    <w:p w14:paraId="424A93EB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Depending on the customer's location and Abbott's actual distribution arrangements, some channels could bypass an intermediate tier.</w:t>
      </w:r>
    </w:p>
    <w:p w14:paraId="42196F12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Example</w:t>
      </w:r>
    </w:p>
    <w:p w14:paraId="64C6D111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Karachi manufacturing facility</w:t>
      </w:r>
    </w:p>
    <w:p w14:paraId="3A4F569D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↓</w:t>
      </w:r>
    </w:p>
    <w:p w14:paraId="10BA8BEC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Central distribution/warehouse</w:t>
      </w:r>
    </w:p>
    <w:p w14:paraId="5F9689C4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↓</w:t>
      </w:r>
    </w:p>
    <w:p w14:paraId="2D30046A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Regional distribution</w:t>
      </w:r>
    </w:p>
    <w:p w14:paraId="262612AD" w14:textId="77777777" w:rsidR="00801C6C" w:rsidRPr="00801C6C" w:rsidRDefault="00801C6C" w:rsidP="00801C6C">
      <w:pPr>
        <w:numPr>
          <w:ilvl w:val="0"/>
          <w:numId w:val="1"/>
        </w:numPr>
        <w:rPr>
          <w:lang w:val="en-PK"/>
        </w:rPr>
      </w:pPr>
      <w:r w:rsidRPr="00801C6C">
        <w:rPr>
          <w:lang w:val="en-PK"/>
        </w:rPr>
        <w:t>Karachi/Sindh</w:t>
      </w:r>
    </w:p>
    <w:p w14:paraId="1DA74B38" w14:textId="77777777" w:rsidR="00801C6C" w:rsidRPr="00801C6C" w:rsidRDefault="00801C6C" w:rsidP="00801C6C">
      <w:pPr>
        <w:numPr>
          <w:ilvl w:val="0"/>
          <w:numId w:val="1"/>
        </w:numPr>
        <w:rPr>
          <w:lang w:val="en-PK"/>
        </w:rPr>
      </w:pPr>
      <w:r w:rsidRPr="00801C6C">
        <w:rPr>
          <w:lang w:val="en-PK"/>
        </w:rPr>
        <w:t>Lahore/Punjab</w:t>
      </w:r>
    </w:p>
    <w:p w14:paraId="35FD6B0D" w14:textId="77777777" w:rsidR="00801C6C" w:rsidRPr="00801C6C" w:rsidRDefault="00801C6C" w:rsidP="00801C6C">
      <w:pPr>
        <w:numPr>
          <w:ilvl w:val="0"/>
          <w:numId w:val="1"/>
        </w:numPr>
        <w:rPr>
          <w:lang w:val="en-PK"/>
        </w:rPr>
      </w:pPr>
      <w:r w:rsidRPr="00801C6C">
        <w:rPr>
          <w:lang w:val="en-PK"/>
        </w:rPr>
        <w:t>Islamabad/Rawalpindi/northern region</w:t>
      </w:r>
    </w:p>
    <w:p w14:paraId="5600A50B" w14:textId="77777777" w:rsidR="00801C6C" w:rsidRPr="00801C6C" w:rsidRDefault="00801C6C" w:rsidP="00801C6C">
      <w:pPr>
        <w:numPr>
          <w:ilvl w:val="0"/>
          <w:numId w:val="1"/>
        </w:numPr>
        <w:rPr>
          <w:lang w:val="en-PK"/>
        </w:rPr>
      </w:pPr>
      <w:r w:rsidRPr="00801C6C">
        <w:rPr>
          <w:lang w:val="en-PK"/>
        </w:rPr>
        <w:t>Other regional markets</w:t>
      </w:r>
    </w:p>
    <w:p w14:paraId="71C8703C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↓</w:t>
      </w:r>
    </w:p>
    <w:p w14:paraId="31869473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Wholesalers/distributors</w:t>
      </w:r>
    </w:p>
    <w:p w14:paraId="12F9D3ED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↓</w:t>
      </w:r>
    </w:p>
    <w:p w14:paraId="1543DDE7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Pharmacies / medical stores / retail outlets</w:t>
      </w:r>
    </w:p>
    <w:p w14:paraId="67A4A03C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↓</w:t>
      </w:r>
    </w:p>
    <w:p w14:paraId="31A41C47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Consumer</w:t>
      </w:r>
    </w:p>
    <w:p w14:paraId="7FDD9AA5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Abbott's public information identifies its business as operating in Pakistan and its 2025 annual report specifically refers to distributors and partners within its healthcare ecosystem, but it does </w:t>
      </w:r>
      <w:r w:rsidRPr="00801C6C">
        <w:rPr>
          <w:b/>
          <w:bCs/>
          <w:lang w:val="en-PK"/>
        </w:rPr>
        <w:t xml:space="preserve">not provide a product-level </w:t>
      </w:r>
      <w:proofErr w:type="spellStart"/>
      <w:r w:rsidRPr="00801C6C">
        <w:rPr>
          <w:b/>
          <w:bCs/>
          <w:lang w:val="en-PK"/>
        </w:rPr>
        <w:t>Surbex</w:t>
      </w:r>
      <w:proofErr w:type="spellEnd"/>
      <w:r w:rsidRPr="00801C6C">
        <w:rPr>
          <w:b/>
          <w:bCs/>
          <w:lang w:val="en-PK"/>
        </w:rPr>
        <w:t>-Z distribution map</w:t>
      </w:r>
      <w:r w:rsidRPr="00801C6C">
        <w:rPr>
          <w:lang w:val="en-PK"/>
        </w:rPr>
        <w:t>. (</w:t>
      </w:r>
      <w:hyperlink r:id="rId16" w:tooltip="Abbott Pakistan / 2025 Annual Report" w:history="1">
        <w:r w:rsidRPr="00801C6C">
          <w:rPr>
            <w:rStyle w:val="Hyperlink"/>
            <w:lang w:val="en-PK"/>
          </w:rPr>
          <w:t>DPS PSX</w:t>
        </w:r>
      </w:hyperlink>
      <w:r w:rsidRPr="00801C6C">
        <w:rPr>
          <w:lang w:val="en-PK"/>
        </w:rPr>
        <w:t>)</w:t>
      </w:r>
    </w:p>
    <w:p w14:paraId="73829763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Approximate number of downstream tiers</w:t>
      </w:r>
    </w:p>
    <w:p w14:paraId="73F69D15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A reasonable illustrative assumption is </w:t>
      </w:r>
      <w:r w:rsidRPr="00801C6C">
        <w:rPr>
          <w:b/>
          <w:bCs/>
          <w:lang w:val="en-PK"/>
        </w:rPr>
        <w:t>3–4 commercial/logistics tiers after the factory</w:t>
      </w:r>
      <w:r w:rsidRPr="00801C6C">
        <w:rPr>
          <w:lang w:val="en-PK"/>
        </w:rPr>
        <w:t>:</w:t>
      </w:r>
    </w:p>
    <w:p w14:paraId="56F53307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Factory → DC/warehouse → distributor/wholesaler → pharmacy → consumer</w:t>
      </w:r>
    </w:p>
    <w:p w14:paraId="17B36BE3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However, some orders could follow a shorter route such as:</w:t>
      </w:r>
    </w:p>
    <w:p w14:paraId="593E9CDC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Factory → distributor → pharmacy → consumer</w:t>
      </w:r>
    </w:p>
    <w:p w14:paraId="52148301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lastRenderedPageBreak/>
        <w:pict w14:anchorId="6C5E5071">
          <v:rect id="_x0000_i1106" style="width:0;height:1.5pt" o:hralign="center" o:hrstd="t" o:hr="t" fillcolor="#a0a0a0" stroked="f"/>
        </w:pict>
      </w:r>
    </w:p>
    <w:p w14:paraId="77F2AA75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4. INFORMATION &amp; FINANCIAL FLOW</w:t>
      </w:r>
    </w:p>
    <w:p w14:paraId="33823654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Information flow</w:t>
      </w:r>
    </w:p>
    <w:p w14:paraId="256AF6AE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Consumer demand → pharmacy sales/orders → distributor/wholesaler orders → Abbott sales/distribution planning → production and procurement planning</w:t>
      </w:r>
      <w:r w:rsidRPr="00801C6C">
        <w:rPr>
          <w:lang w:val="en-PK"/>
        </w:rPr>
        <w:t>, with information flowing backward so inventory and production can respond to market requirements.</w:t>
      </w:r>
    </w:p>
    <w:p w14:paraId="1386339A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Financial flow</w:t>
      </w:r>
    </w:p>
    <w:p w14:paraId="1E764BE0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Consumer payment → pharmacy → distributor/wholesaler → Abbott</w:t>
      </w:r>
      <w:r w:rsidRPr="00801C6C">
        <w:rPr>
          <w:lang w:val="en-PK"/>
        </w:rPr>
        <w:t>, with commercial customers typically operating under agreed credit/payment terms rather than every transaction being paid in advance.</w:t>
      </w:r>
    </w:p>
    <w:p w14:paraId="3B499B4E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pict w14:anchorId="7940F4FC">
          <v:rect id="_x0000_i1107" style="width:0;height:1.5pt" o:hralign="center" o:hrstd="t" o:hr="t" fillcolor="#a0a0a0" stroked="f"/>
        </w:pict>
      </w:r>
    </w:p>
    <w:p w14:paraId="11D7CB64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5. SIMPLE TEXT SUPPLY CHAIN DIAGRAM</w:t>
      </w:r>
    </w:p>
    <w:p w14:paraId="1EA27CD1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Complete chain</w:t>
      </w:r>
    </w:p>
    <w:p w14:paraId="5A9B2E53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Tier 2 raw-material sources</w:t>
      </w:r>
      <w:r w:rsidRPr="00801C6C">
        <w:rPr>
          <w:lang w:val="en-PK"/>
        </w:rPr>
        <w:br/>
        <w:t>↓</w:t>
      </w:r>
      <w:r w:rsidRPr="00801C6C">
        <w:rPr>
          <w:lang w:val="en-PK"/>
        </w:rPr>
        <w:br/>
      </w:r>
      <w:r w:rsidRPr="00801C6C">
        <w:rPr>
          <w:b/>
          <w:bCs/>
          <w:lang w:val="en-PK"/>
        </w:rPr>
        <w:t>Tier 1 pharmaceutical ingredient &amp; packaging suppliers</w:t>
      </w:r>
      <w:r w:rsidRPr="00801C6C">
        <w:rPr>
          <w:lang w:val="en-PK"/>
        </w:rPr>
        <w:br/>
        <w:t>↓</w:t>
      </w:r>
      <w:r w:rsidRPr="00801C6C">
        <w:rPr>
          <w:lang w:val="en-PK"/>
        </w:rPr>
        <w:br/>
      </w:r>
      <w:r w:rsidRPr="00801C6C">
        <w:rPr>
          <w:b/>
          <w:bCs/>
          <w:lang w:val="en-PK"/>
        </w:rPr>
        <w:t>Abbott Laboratories (Pakistan) — Karachi manufacturing facility</w:t>
      </w:r>
      <w:r w:rsidRPr="00801C6C">
        <w:rPr>
          <w:lang w:val="en-PK"/>
        </w:rPr>
        <w:br/>
        <w:t>↓</w:t>
      </w:r>
      <w:r w:rsidRPr="00801C6C">
        <w:rPr>
          <w:lang w:val="en-PK"/>
        </w:rPr>
        <w:br/>
      </w:r>
      <w:r w:rsidRPr="00801C6C">
        <w:rPr>
          <w:b/>
          <w:bCs/>
          <w:lang w:val="en-PK"/>
        </w:rPr>
        <w:t>Quality release / finished-goods storage</w:t>
      </w:r>
      <w:r w:rsidRPr="00801C6C">
        <w:rPr>
          <w:lang w:val="en-PK"/>
        </w:rPr>
        <w:br/>
        <w:t>↓</w:t>
      </w:r>
      <w:r w:rsidRPr="00801C6C">
        <w:rPr>
          <w:lang w:val="en-PK"/>
        </w:rPr>
        <w:br/>
      </w:r>
      <w:r w:rsidRPr="00801C6C">
        <w:rPr>
          <w:b/>
          <w:bCs/>
          <w:lang w:val="en-PK"/>
        </w:rPr>
        <w:t>Regional distribution / warehouse network</w:t>
      </w:r>
      <w:r w:rsidRPr="00801C6C">
        <w:rPr>
          <w:lang w:val="en-PK"/>
        </w:rPr>
        <w:br/>
        <w:t>↓</w:t>
      </w:r>
      <w:r w:rsidRPr="00801C6C">
        <w:rPr>
          <w:lang w:val="en-PK"/>
        </w:rPr>
        <w:br/>
      </w:r>
      <w:r w:rsidRPr="00801C6C">
        <w:rPr>
          <w:b/>
          <w:bCs/>
          <w:lang w:val="en-PK"/>
        </w:rPr>
        <w:t>Distributor / wholesaler</w:t>
      </w:r>
      <w:r w:rsidRPr="00801C6C">
        <w:rPr>
          <w:lang w:val="en-PK"/>
        </w:rPr>
        <w:br/>
        <w:t>↓</w:t>
      </w:r>
      <w:r w:rsidRPr="00801C6C">
        <w:rPr>
          <w:lang w:val="en-PK"/>
        </w:rPr>
        <w:br/>
      </w:r>
      <w:r w:rsidRPr="00801C6C">
        <w:rPr>
          <w:b/>
          <w:bCs/>
          <w:lang w:val="en-PK"/>
        </w:rPr>
        <w:t>Pharmacy / retail outlet</w:t>
      </w:r>
      <w:r w:rsidRPr="00801C6C">
        <w:rPr>
          <w:lang w:val="en-PK"/>
        </w:rPr>
        <w:br/>
        <w:t>↓</w:t>
      </w:r>
      <w:r w:rsidRPr="00801C6C">
        <w:rPr>
          <w:lang w:val="en-PK"/>
        </w:rPr>
        <w:br/>
      </w:r>
      <w:r w:rsidRPr="00801C6C">
        <w:rPr>
          <w:b/>
          <w:bCs/>
          <w:lang w:val="en-PK"/>
        </w:rPr>
        <w:t>Consumer</w:t>
      </w:r>
    </w:p>
    <w:p w14:paraId="0E4CFC2C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Or, as one continuous line:</w:t>
      </w:r>
    </w:p>
    <w:p w14:paraId="3A72EB8B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Raw Material Sources → Tier 1 Ingredient/Packaging Suppliers → Abbott Factory (Karachi) → Finished Goods Warehouse/DC → Regional Distributor → Pharmacy/Retailer → Consumer</w:t>
      </w:r>
    </w:p>
    <w:p w14:paraId="65C2F8E1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pict w14:anchorId="4C036427">
          <v:rect id="_x0000_i1108" style="width:0;height:1.5pt" o:hralign="center" o:hrstd="t" o:hr="t" fillcolor="#a0a0a0" stroked="f"/>
        </w:pict>
      </w:r>
    </w:p>
    <w:p w14:paraId="03D2B139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6. PLAUSIBLE LEAD TIMES</w:t>
      </w:r>
    </w:p>
    <w:p w14:paraId="44E5973F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lastRenderedPageBreak/>
        <w:t xml:space="preserve">These are </w:t>
      </w:r>
      <w:r w:rsidRPr="00801C6C">
        <w:rPr>
          <w:b/>
          <w:bCs/>
          <w:lang w:val="en-PK"/>
        </w:rPr>
        <w:t>planning estimates for an illustrative academic supply-chain model</w:t>
      </w:r>
      <w:r w:rsidRPr="00801C6C">
        <w:rPr>
          <w:lang w:val="en-PK"/>
        </w:rPr>
        <w:t>, not Abbott's actual lead-time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1502"/>
        <w:gridCol w:w="4523"/>
      </w:tblGrid>
      <w:tr w:rsidR="00801C6C" w:rsidRPr="00801C6C" w14:paraId="4B424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826ED" w14:textId="77777777" w:rsidR="00801C6C" w:rsidRPr="00801C6C" w:rsidRDefault="00801C6C" w:rsidP="00801C6C">
            <w:pPr>
              <w:rPr>
                <w:b/>
                <w:bCs/>
                <w:lang w:val="en-PK"/>
              </w:rPr>
            </w:pPr>
            <w:r w:rsidRPr="00801C6C">
              <w:rPr>
                <w:b/>
                <w:bCs/>
                <w:lang w:val="en-PK"/>
              </w:rPr>
              <w:t>Supply-chain link</w:t>
            </w:r>
          </w:p>
        </w:tc>
        <w:tc>
          <w:tcPr>
            <w:tcW w:w="0" w:type="auto"/>
            <w:vAlign w:val="center"/>
            <w:hideMark/>
          </w:tcPr>
          <w:p w14:paraId="032A202D" w14:textId="77777777" w:rsidR="00801C6C" w:rsidRPr="00801C6C" w:rsidRDefault="00801C6C" w:rsidP="00801C6C">
            <w:pPr>
              <w:rPr>
                <w:b/>
                <w:bCs/>
                <w:lang w:val="en-PK"/>
              </w:rPr>
            </w:pPr>
            <w:r w:rsidRPr="00801C6C">
              <w:rPr>
                <w:b/>
                <w:bCs/>
                <w:lang w:val="en-PK"/>
              </w:rPr>
              <w:t>Illustrative lead time</w:t>
            </w:r>
          </w:p>
        </w:tc>
        <w:tc>
          <w:tcPr>
            <w:tcW w:w="0" w:type="auto"/>
            <w:vAlign w:val="center"/>
            <w:hideMark/>
          </w:tcPr>
          <w:p w14:paraId="02211C2B" w14:textId="77777777" w:rsidR="00801C6C" w:rsidRPr="00801C6C" w:rsidRDefault="00801C6C" w:rsidP="00801C6C">
            <w:pPr>
              <w:rPr>
                <w:b/>
                <w:bCs/>
                <w:lang w:val="en-PK"/>
              </w:rPr>
            </w:pPr>
            <w:r w:rsidRPr="00801C6C">
              <w:rPr>
                <w:b/>
                <w:bCs/>
                <w:lang w:val="en-PK"/>
              </w:rPr>
              <w:t>Reasoning</w:t>
            </w:r>
          </w:p>
        </w:tc>
      </w:tr>
      <w:tr w:rsidR="00801C6C" w:rsidRPr="00801C6C" w14:paraId="4E3CA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7E74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Tier 2 → Tier 1 supplier</w:t>
            </w:r>
          </w:p>
        </w:tc>
        <w:tc>
          <w:tcPr>
            <w:tcW w:w="0" w:type="auto"/>
            <w:vAlign w:val="center"/>
            <w:hideMark/>
          </w:tcPr>
          <w:p w14:paraId="163DF2FF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7–30 days</w:t>
            </w:r>
          </w:p>
        </w:tc>
        <w:tc>
          <w:tcPr>
            <w:tcW w:w="0" w:type="auto"/>
            <w:vAlign w:val="center"/>
            <w:hideMark/>
          </w:tcPr>
          <w:p w14:paraId="619FE5B8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Domestic materials may move relatively quickly; imported chemical ingredients can require longer procurement and transportation.</w:t>
            </w:r>
          </w:p>
        </w:tc>
      </w:tr>
      <w:tr w:rsidR="00801C6C" w:rsidRPr="00801C6C" w14:paraId="1CAE0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B4F4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Tier 1 → Abbott factory</w:t>
            </w:r>
          </w:p>
        </w:tc>
        <w:tc>
          <w:tcPr>
            <w:tcW w:w="0" w:type="auto"/>
            <w:vAlign w:val="center"/>
            <w:hideMark/>
          </w:tcPr>
          <w:p w14:paraId="52F7A7D1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7–30 days</w:t>
            </w:r>
          </w:p>
        </w:tc>
        <w:tc>
          <w:tcPr>
            <w:tcW w:w="0" w:type="auto"/>
            <w:vAlign w:val="center"/>
            <w:hideMark/>
          </w:tcPr>
          <w:p w14:paraId="01EDD917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Depends heavily on whether the ingredient/packaging material is locally sourced or imported and on supplier inventory.</w:t>
            </w:r>
          </w:p>
        </w:tc>
      </w:tr>
      <w:tr w:rsidR="00801C6C" w:rsidRPr="00801C6C" w14:paraId="104EC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B360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Raw-material receipt → manufacturing batch</w:t>
            </w:r>
          </w:p>
        </w:tc>
        <w:tc>
          <w:tcPr>
            <w:tcW w:w="0" w:type="auto"/>
            <w:vAlign w:val="center"/>
            <w:hideMark/>
          </w:tcPr>
          <w:p w14:paraId="49655AB7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2–7 days</w:t>
            </w:r>
          </w:p>
        </w:tc>
        <w:tc>
          <w:tcPr>
            <w:tcW w:w="0" w:type="auto"/>
            <w:vAlign w:val="center"/>
            <w:hideMark/>
          </w:tcPr>
          <w:p w14:paraId="50560D73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Includes scheduling, dispensing and material-release activities, although actual timing can vary considerably.</w:t>
            </w:r>
          </w:p>
        </w:tc>
      </w:tr>
      <w:tr w:rsidR="00801C6C" w:rsidRPr="00801C6C" w14:paraId="39B0C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B46D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Manufacturing → finished-goods release</w:t>
            </w:r>
          </w:p>
        </w:tc>
        <w:tc>
          <w:tcPr>
            <w:tcW w:w="0" w:type="auto"/>
            <w:vAlign w:val="center"/>
            <w:hideMark/>
          </w:tcPr>
          <w:p w14:paraId="37817E62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7DDA45B2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Manufacturing plus quality-control/testing and batch-release activities.</w:t>
            </w:r>
          </w:p>
        </w:tc>
      </w:tr>
      <w:tr w:rsidR="00801C6C" w:rsidRPr="00801C6C" w14:paraId="1EAE8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93CF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Factory → central/regional DC</w:t>
            </w:r>
          </w:p>
        </w:tc>
        <w:tc>
          <w:tcPr>
            <w:tcW w:w="0" w:type="auto"/>
            <w:vAlign w:val="center"/>
            <w:hideMark/>
          </w:tcPr>
          <w:p w14:paraId="72E35672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1–5 days</w:t>
            </w:r>
          </w:p>
        </w:tc>
        <w:tc>
          <w:tcPr>
            <w:tcW w:w="0" w:type="auto"/>
            <w:vAlign w:val="center"/>
            <w:hideMark/>
          </w:tcPr>
          <w:p w14:paraId="167842FC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Karachi-based distribution can be relatively quick, while movement to other regions takes longer.</w:t>
            </w:r>
          </w:p>
        </w:tc>
      </w:tr>
      <w:tr w:rsidR="00801C6C" w:rsidRPr="00801C6C" w14:paraId="39803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E613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DC → distributor/wholesaler</w:t>
            </w:r>
          </w:p>
        </w:tc>
        <w:tc>
          <w:tcPr>
            <w:tcW w:w="0" w:type="auto"/>
            <w:vAlign w:val="center"/>
            <w:hideMark/>
          </w:tcPr>
          <w:p w14:paraId="2D2D2A90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1–5 days</w:t>
            </w:r>
          </w:p>
        </w:tc>
        <w:tc>
          <w:tcPr>
            <w:tcW w:w="0" w:type="auto"/>
            <w:vAlign w:val="center"/>
            <w:hideMark/>
          </w:tcPr>
          <w:p w14:paraId="38C6B0FA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Primarily transportation and order-processing time.</w:t>
            </w:r>
          </w:p>
        </w:tc>
      </w:tr>
      <w:tr w:rsidR="00801C6C" w:rsidRPr="00801C6C" w14:paraId="14908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334C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Distributor → pharmacy/retailer</w:t>
            </w:r>
          </w:p>
        </w:tc>
        <w:tc>
          <w:tcPr>
            <w:tcW w:w="0" w:type="auto"/>
            <w:vAlign w:val="center"/>
            <w:hideMark/>
          </w:tcPr>
          <w:p w14:paraId="54199697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1–4 days</w:t>
            </w:r>
          </w:p>
        </w:tc>
        <w:tc>
          <w:tcPr>
            <w:tcW w:w="0" w:type="auto"/>
            <w:vAlign w:val="center"/>
            <w:hideMark/>
          </w:tcPr>
          <w:p w14:paraId="74B31098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Depends on route frequency, order size and geographic location.</w:t>
            </w:r>
          </w:p>
        </w:tc>
      </w:tr>
      <w:tr w:rsidR="00801C6C" w:rsidRPr="00801C6C" w14:paraId="4B649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2DD5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Pharmacy → consumer</w:t>
            </w:r>
          </w:p>
        </w:tc>
        <w:tc>
          <w:tcPr>
            <w:tcW w:w="0" w:type="auto"/>
            <w:vAlign w:val="center"/>
            <w:hideMark/>
          </w:tcPr>
          <w:p w14:paraId="5EC7F7A1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b/>
                <w:bCs/>
                <w:lang w:val="en-PK"/>
              </w:rPr>
              <w:t>Same day–several days</w:t>
            </w:r>
          </w:p>
        </w:tc>
        <w:tc>
          <w:tcPr>
            <w:tcW w:w="0" w:type="auto"/>
            <w:vAlign w:val="center"/>
            <w:hideMark/>
          </w:tcPr>
          <w:p w14:paraId="3873BE9F" w14:textId="77777777" w:rsidR="00801C6C" w:rsidRPr="00801C6C" w:rsidRDefault="00801C6C" w:rsidP="00801C6C">
            <w:pPr>
              <w:rPr>
                <w:lang w:val="en-PK"/>
              </w:rPr>
            </w:pPr>
            <w:r w:rsidRPr="00801C6C">
              <w:rPr>
                <w:lang w:val="en-PK"/>
              </w:rPr>
              <w:t>Consumer purchase normally occurs once the product is available at the pharmacy.</w:t>
            </w:r>
          </w:p>
        </w:tc>
      </w:tr>
    </w:tbl>
    <w:p w14:paraId="6D543A44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Overall illustrative lead-time picture</w:t>
      </w:r>
    </w:p>
    <w:p w14:paraId="534C3F62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For a </w:t>
      </w:r>
      <w:r w:rsidRPr="00801C6C">
        <w:rPr>
          <w:b/>
          <w:bCs/>
          <w:lang w:val="en-PK"/>
        </w:rPr>
        <w:t>locally available input</w:t>
      </w:r>
      <w:r w:rsidRPr="00801C6C">
        <w:rPr>
          <w:lang w:val="en-PK"/>
        </w:rPr>
        <w:t xml:space="preserve">, the physical flow could potentially move relatively quickly. For an </w:t>
      </w:r>
      <w:r w:rsidRPr="00801C6C">
        <w:rPr>
          <w:b/>
          <w:bCs/>
          <w:lang w:val="en-PK"/>
        </w:rPr>
        <w:t>imported pharmaceutical ingredient</w:t>
      </w:r>
      <w:r w:rsidRPr="00801C6C">
        <w:rPr>
          <w:lang w:val="en-PK"/>
        </w:rPr>
        <w:t>, however, the upstream lead time could become substantially longer because international transportation, customs clearance, supplier production schedules and regulatory requirements may be involved.</w:t>
      </w:r>
    </w:p>
    <w:p w14:paraId="2F287608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This makes </w:t>
      </w:r>
      <w:r w:rsidRPr="00801C6C">
        <w:rPr>
          <w:b/>
          <w:bCs/>
          <w:lang w:val="en-PK"/>
        </w:rPr>
        <w:t>procurement of critical imported ingredients</w:t>
      </w:r>
      <w:r w:rsidRPr="00801C6C">
        <w:rPr>
          <w:lang w:val="en-PK"/>
        </w:rPr>
        <w:t xml:space="preserve"> a potentially important supply-chain risk alongside manufacturing and quality-release capacity.</w:t>
      </w:r>
    </w:p>
    <w:p w14:paraId="3E44EC2B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lastRenderedPageBreak/>
        <w:pict w14:anchorId="392608B5">
          <v:rect id="_x0000_i1109" style="width:0;height:1.5pt" o:hralign="center" o:hrstd="t" o:hr="t" fillcolor="#a0a0a0" stroked="f"/>
        </w:pict>
      </w:r>
    </w:p>
    <w:p w14:paraId="75251099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Overall Supply Chain Map</w:t>
      </w:r>
    </w:p>
    <w:p w14:paraId="29FABBC3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UPSTREAM</w:t>
      </w:r>
    </w:p>
    <w:p w14:paraId="1301FD30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4E5AC9A4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┌───────────────────</w:t>
      </w:r>
      <w:r w:rsidRPr="00801C6C">
        <w:rPr>
          <w:rFonts w:ascii="MS Gothic" w:eastAsia="MS Gothic" w:hAnsi="MS Gothic" w:cs="MS Gothic" w:hint="eastAsia"/>
          <w:lang w:val="en-PK"/>
        </w:rPr>
        <w:t>┴</w:t>
      </w:r>
      <w:r w:rsidRPr="00801C6C">
        <w:rPr>
          <w:rFonts w:ascii="Aptos" w:hAnsi="Aptos" w:cs="Aptos"/>
          <w:lang w:val="en-PK"/>
        </w:rPr>
        <w:t>───────────────────┐</w:t>
      </w:r>
    </w:p>
    <w:p w14:paraId="0BF6830E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│                                       │</w:t>
      </w:r>
    </w:p>
    <w:p w14:paraId="0B0E67D6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Tier 2 Raw Material Sources              Tier 2 Packaging</w:t>
      </w:r>
    </w:p>
    <w:p w14:paraId="42B2359D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│                                       │</w:t>
      </w:r>
    </w:p>
    <w:p w14:paraId="49BF9CB4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</w:t>
      </w:r>
      <w:r w:rsidRPr="00801C6C">
        <w:rPr>
          <w:rFonts w:ascii="Arial" w:hAnsi="Arial" w:cs="Arial"/>
          <w:lang w:val="en-PK"/>
        </w:rPr>
        <w:t>▼</w:t>
      </w:r>
      <w:r w:rsidRPr="00801C6C">
        <w:rPr>
          <w:lang w:val="en-PK"/>
        </w:rPr>
        <w:t xml:space="preserve">           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56EB88F8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Tier 1 Ingredient Suppliers             Tier 1 Packaging Suppliers</w:t>
      </w:r>
    </w:p>
    <w:p w14:paraId="24F27B4C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│                                       │</w:t>
      </w:r>
    </w:p>
    <w:p w14:paraId="0570C6FD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└───────────────────</w:t>
      </w:r>
      <w:r w:rsidRPr="00801C6C">
        <w:rPr>
          <w:rFonts w:ascii="MS Gothic" w:eastAsia="MS Gothic" w:hAnsi="MS Gothic" w:cs="MS Gothic" w:hint="eastAsia"/>
          <w:lang w:val="en-PK"/>
        </w:rPr>
        <w:t>┬</w:t>
      </w:r>
      <w:r w:rsidRPr="00801C6C">
        <w:rPr>
          <w:rFonts w:ascii="Aptos" w:hAnsi="Aptos" w:cs="Aptos"/>
          <w:lang w:val="en-PK"/>
        </w:rPr>
        <w:t>───────────────────┘</w:t>
      </w:r>
    </w:p>
    <w:p w14:paraId="528E8A1C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415548D6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7FD80C76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ABBOTT LABORATORIES (PAKISTAN)</w:t>
      </w:r>
    </w:p>
    <w:p w14:paraId="1E62F917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KARACHI MANUFACTURING</w:t>
      </w:r>
    </w:p>
    <w:p w14:paraId="55FAA253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0B32221F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1D53BC2E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Raw Material Quality Check</w:t>
      </w:r>
    </w:p>
    <w:p w14:paraId="3066FE0A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7A2C8A7D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19C9DAD8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Weighing / Dispensing</w:t>
      </w:r>
    </w:p>
    <w:p w14:paraId="6FDD46A4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16EBE7EF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732D7418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Blending / Granulation</w:t>
      </w:r>
    </w:p>
    <w:p w14:paraId="31CBA65E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6CBA427B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40955CD3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Tablet Compression</w:t>
      </w:r>
    </w:p>
    <w:p w14:paraId="3D16D31C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lastRenderedPageBreak/>
        <w:t xml:space="preserve">                            │</w:t>
      </w:r>
    </w:p>
    <w:p w14:paraId="2FADA573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33B1032C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Packaging &amp; Inspection</w:t>
      </w:r>
    </w:p>
    <w:p w14:paraId="28D37305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52F05DF5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6A51635B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Quality Release</w:t>
      </w:r>
    </w:p>
    <w:p w14:paraId="4F5D94B7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541F1795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47D88692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Finished Goods Warehouse</w:t>
      </w:r>
    </w:p>
    <w:p w14:paraId="58AF67E7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5C31F317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0347A1F6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Regional Distribution</w:t>
      </w:r>
    </w:p>
    <w:p w14:paraId="6E1CFD5B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69308598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0581FA9A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Distributor / Wholesaler</w:t>
      </w:r>
    </w:p>
    <w:p w14:paraId="6677AC60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181CD531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252B6503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Pharmacy / Retailer</w:t>
      </w:r>
    </w:p>
    <w:p w14:paraId="0CCEDE03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│</w:t>
      </w:r>
    </w:p>
    <w:p w14:paraId="7727DC39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</w:t>
      </w:r>
      <w:r w:rsidRPr="00801C6C">
        <w:rPr>
          <w:rFonts w:ascii="Arial" w:hAnsi="Arial" w:cs="Arial"/>
          <w:lang w:val="en-PK"/>
        </w:rPr>
        <w:t>▼</w:t>
      </w:r>
    </w:p>
    <w:p w14:paraId="4F386D51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CONSUMER</w:t>
      </w:r>
    </w:p>
    <w:p w14:paraId="42C6AAF2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Information flow</w:t>
      </w:r>
    </w:p>
    <w:p w14:paraId="5A98DCAE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Consumer Demand</w:t>
      </w:r>
    </w:p>
    <w:p w14:paraId="3556E617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↑</w:t>
      </w:r>
    </w:p>
    <w:p w14:paraId="61C5C2E4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Pharmacy / Retail Sales</w:t>
      </w:r>
    </w:p>
    <w:p w14:paraId="7AD28A0E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↑</w:t>
      </w:r>
    </w:p>
    <w:p w14:paraId="7A072422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Distributor Orders</w:t>
      </w:r>
    </w:p>
    <w:p w14:paraId="7F021FAA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↑</w:t>
      </w:r>
    </w:p>
    <w:p w14:paraId="0F85AB94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lastRenderedPageBreak/>
        <w:t>Abbott Sales &amp; Demand Planning</w:t>
      </w:r>
    </w:p>
    <w:p w14:paraId="1614191F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↑</w:t>
      </w:r>
    </w:p>
    <w:p w14:paraId="1C147143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Production Planning</w:t>
      </w:r>
    </w:p>
    <w:p w14:paraId="5749D741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↑</w:t>
      </w:r>
    </w:p>
    <w:p w14:paraId="46D3B021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Procurement Planning</w:t>
      </w:r>
    </w:p>
    <w:p w14:paraId="4218C1D2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↑</w:t>
      </w:r>
    </w:p>
    <w:p w14:paraId="4AD07B57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Suppliers</w:t>
      </w:r>
    </w:p>
    <w:p w14:paraId="3B18A195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Financial flow</w:t>
      </w:r>
    </w:p>
    <w:p w14:paraId="3AFB96F6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Consumer → Pharmacy → Distributor → Abbott</w:t>
      </w:r>
    </w:p>
    <w:p w14:paraId="60DB404B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                             </w:t>
      </w:r>
    </w:p>
    <w:p w14:paraId="563E70C9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>Supplier ← Abbott</w:t>
      </w:r>
    </w:p>
    <w:p w14:paraId="3479AC4E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The </w:t>
      </w:r>
      <w:r w:rsidRPr="00801C6C">
        <w:rPr>
          <w:b/>
          <w:bCs/>
          <w:lang w:val="en-PK"/>
        </w:rPr>
        <w:t>physical flow moves downstream</w:t>
      </w:r>
      <w:r w:rsidRPr="00801C6C">
        <w:rPr>
          <w:lang w:val="en-PK"/>
        </w:rPr>
        <w:t xml:space="preserve">, while </w:t>
      </w:r>
      <w:r w:rsidRPr="00801C6C">
        <w:rPr>
          <w:b/>
          <w:bCs/>
          <w:lang w:val="en-PK"/>
        </w:rPr>
        <w:t>demand information generally moves upstream</w:t>
      </w:r>
      <w:r w:rsidRPr="00801C6C">
        <w:rPr>
          <w:lang w:val="en-PK"/>
        </w:rPr>
        <w:t xml:space="preserve"> and </w:t>
      </w:r>
      <w:r w:rsidRPr="00801C6C">
        <w:rPr>
          <w:b/>
          <w:bCs/>
          <w:lang w:val="en-PK"/>
        </w:rPr>
        <w:t>payments move in the opposite direction to the physical product flow</w:t>
      </w:r>
      <w:r w:rsidRPr="00801C6C">
        <w:rPr>
          <w:lang w:val="en-PK"/>
        </w:rPr>
        <w:t>.</w:t>
      </w:r>
    </w:p>
    <w:p w14:paraId="3AD40BA5" w14:textId="77777777" w:rsidR="00801C6C" w:rsidRPr="00801C6C" w:rsidRDefault="00801C6C" w:rsidP="00801C6C">
      <w:pPr>
        <w:rPr>
          <w:b/>
          <w:bCs/>
          <w:lang w:val="en-PK"/>
        </w:rPr>
      </w:pPr>
      <w:r w:rsidRPr="00801C6C">
        <w:rPr>
          <w:b/>
          <w:bCs/>
          <w:lang w:val="en-PK"/>
        </w:rPr>
        <w:t>Assumptions</w:t>
      </w:r>
    </w:p>
    <w:p w14:paraId="73CF9493" w14:textId="77777777" w:rsidR="00801C6C" w:rsidRPr="00801C6C" w:rsidRDefault="00801C6C" w:rsidP="00801C6C">
      <w:pPr>
        <w:rPr>
          <w:lang w:val="en-PK"/>
        </w:rPr>
      </w:pPr>
      <w:r w:rsidRPr="00801C6C">
        <w:rPr>
          <w:lang w:val="en-PK"/>
        </w:rPr>
        <w:t xml:space="preserve">This map assumes </w:t>
      </w:r>
      <w:proofErr w:type="spellStart"/>
      <w:r w:rsidRPr="00801C6C">
        <w:rPr>
          <w:lang w:val="en-PK"/>
        </w:rPr>
        <w:t>Surbex</w:t>
      </w:r>
      <w:proofErr w:type="spellEnd"/>
      <w:r w:rsidRPr="00801C6C">
        <w:rPr>
          <w:lang w:val="en-PK"/>
        </w:rPr>
        <w:t xml:space="preserve">-Z follows a conventional pharmaceutical-tablet supply chain and that Abbott Pakistan performs the major manufacturing, quality and packaging activities internally; the exact product-specific process is not publicly disclosed. The supplier tiers are intentionally expressed as </w:t>
      </w:r>
      <w:r w:rsidRPr="00801C6C">
        <w:rPr>
          <w:b/>
          <w:bCs/>
          <w:lang w:val="en-PK"/>
        </w:rPr>
        <w:t>generic categories</w:t>
      </w:r>
      <w:r w:rsidRPr="00801C6C">
        <w:rPr>
          <w:lang w:val="en-PK"/>
        </w:rPr>
        <w:t xml:space="preserve">, because naming particular companies as </w:t>
      </w:r>
      <w:proofErr w:type="spellStart"/>
      <w:r w:rsidRPr="00801C6C">
        <w:rPr>
          <w:lang w:val="en-PK"/>
        </w:rPr>
        <w:t>Surbex</w:t>
      </w:r>
      <w:proofErr w:type="spellEnd"/>
      <w:r w:rsidRPr="00801C6C">
        <w:rPr>
          <w:lang w:val="en-PK"/>
        </w:rPr>
        <w:t xml:space="preserve">-Z suppliers without evidence would be misleading. Imported ingredients are presented as a plausible possibility rather than a confirmed source for </w:t>
      </w:r>
      <w:proofErr w:type="spellStart"/>
      <w:r w:rsidRPr="00801C6C">
        <w:rPr>
          <w:lang w:val="en-PK"/>
        </w:rPr>
        <w:t>Surbex</w:t>
      </w:r>
      <w:proofErr w:type="spellEnd"/>
      <w:r w:rsidRPr="00801C6C">
        <w:rPr>
          <w:lang w:val="en-PK"/>
        </w:rPr>
        <w:t xml:space="preserve">-Z. The downstream structure is also illustrative because Abbott's public disclosures do not provide a product-by-product distribution network for </w:t>
      </w:r>
      <w:proofErr w:type="spellStart"/>
      <w:r w:rsidRPr="00801C6C">
        <w:rPr>
          <w:lang w:val="en-PK"/>
        </w:rPr>
        <w:t>Surbex</w:t>
      </w:r>
      <w:proofErr w:type="spellEnd"/>
      <w:r w:rsidRPr="00801C6C">
        <w:rPr>
          <w:lang w:val="en-PK"/>
        </w:rPr>
        <w:t xml:space="preserve">-Z. A real internal Abbott supply-chain map would likely contain </w:t>
      </w:r>
      <w:r w:rsidRPr="00801C6C">
        <w:rPr>
          <w:b/>
          <w:bCs/>
          <w:lang w:val="en-PK"/>
        </w:rPr>
        <w:t>specific supplier names, SKUs/material codes, BOM quantities, batch sizes, safety stocks, warehouses, distributor identities, transportation routes, purchase lead times, production capacities, demand forecasts and actual inventory data</w:t>
      </w:r>
      <w:r w:rsidRPr="00801C6C">
        <w:rPr>
          <w:lang w:val="en-PK"/>
        </w:rPr>
        <w:t>, none of which can be established reliably from public information.</w:t>
      </w:r>
    </w:p>
    <w:p w14:paraId="7D83D139" w14:textId="77777777" w:rsidR="00801C6C" w:rsidRPr="00801C6C" w:rsidRDefault="00801C6C" w:rsidP="00801C6C">
      <w:pPr>
        <w:rPr>
          <w:lang w:val="en-PK"/>
        </w:rPr>
      </w:pPr>
      <w:r w:rsidRPr="00801C6C">
        <w:rPr>
          <w:b/>
          <w:bCs/>
          <w:lang w:val="en-PK"/>
        </w:rPr>
        <w:t>Useful fact for your project:</w:t>
      </w:r>
      <w:r w:rsidRPr="00801C6C">
        <w:rPr>
          <w:lang w:val="en-PK"/>
        </w:rPr>
        <w:t xml:space="preserve"> Abbott Pakistan's disclosed manufacturing footprint includes </w:t>
      </w:r>
      <w:r w:rsidRPr="00801C6C">
        <w:rPr>
          <w:b/>
          <w:bCs/>
          <w:lang w:val="en-PK"/>
        </w:rPr>
        <w:t>Landhi and Korangi in Karachi</w:t>
      </w:r>
      <w:r w:rsidRPr="00801C6C">
        <w:rPr>
          <w:lang w:val="en-PK"/>
        </w:rPr>
        <w:t>, and the company describes itself as engaged in manufacturing, importing and marketing pharmaceutical and healthcare products. (</w:t>
      </w:r>
      <w:hyperlink r:id="rId17" w:tooltip="AbbottEmpowering" w:history="1">
        <w:r w:rsidRPr="00801C6C">
          <w:rPr>
            <w:rStyle w:val="Hyperlink"/>
            <w:lang w:val="en-PK"/>
          </w:rPr>
          <w:t>Abbott</w:t>
        </w:r>
      </w:hyperlink>
      <w:r w:rsidRPr="00801C6C">
        <w:rPr>
          <w:lang w:val="en-PK"/>
        </w:rPr>
        <w:t xml:space="preserve">) This is why I would use </w:t>
      </w:r>
      <w:r w:rsidRPr="00801C6C">
        <w:rPr>
          <w:b/>
          <w:bCs/>
          <w:lang w:val="en-PK"/>
        </w:rPr>
        <w:t>Karachi as the manufacturing node</w:t>
      </w:r>
      <w:r w:rsidRPr="00801C6C">
        <w:rPr>
          <w:lang w:val="en-PK"/>
        </w:rPr>
        <w:t xml:space="preserve"> in your semester supply-chain diagram rather than inventing a different city.</w:t>
      </w:r>
    </w:p>
    <w:p w14:paraId="16A09B9A" w14:textId="77777777" w:rsidR="00A745F4" w:rsidRDefault="00A745F4"/>
    <w:sectPr w:rsidR="00A74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07C9D"/>
    <w:multiLevelType w:val="multilevel"/>
    <w:tmpl w:val="D2D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74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69"/>
    <w:rsid w:val="001314D9"/>
    <w:rsid w:val="0063686C"/>
    <w:rsid w:val="00801C6C"/>
    <w:rsid w:val="00952B69"/>
    <w:rsid w:val="00A745F4"/>
    <w:rsid w:val="00C56EB0"/>
    <w:rsid w:val="00F2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E0C8"/>
  <w15:chartTrackingRefBased/>
  <w15:docId w15:val="{C09B7440-BC4B-4995-845D-26C274E9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B6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dam.abbott.com/en-pk/investor-relations/FINAL-Abbott-Report-2021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dps.psx.com.pk/company/ABOT?utm_source=chatgpt.com" TargetMode="External"/><Relationship Id="rId17" Type="http://schemas.openxmlformats.org/officeDocument/2006/relationships/hyperlink" Target="https://dam.abbott.com/en-pk/investor-relations/FINAL-Abbott-Report-2021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ps.psx.com.pk/download/document/273772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hyperlink" Target="https://dps.psx.com.pk/download/document/273772.pdf?utm_source=chatgpt.com" TargetMode="External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financials.psx.com.pk/lib/DownloadPDF.php?id=ABOT-ANNUAL-2017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1934</Words>
  <Characters>11025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 Zulfiqar</dc:creator>
  <cp:keywords/>
  <dc:description/>
  <cp:lastModifiedBy>Faria Zulfiqar</cp:lastModifiedBy>
  <cp:revision>1</cp:revision>
  <dcterms:created xsi:type="dcterms:W3CDTF">2026-09-09T15:45:00Z</dcterms:created>
  <dcterms:modified xsi:type="dcterms:W3CDTF">2026-09-09T16:07:00Z</dcterms:modified>
</cp:coreProperties>
</file>