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F4E3C" w14:textId="77777777" w:rsidR="0059677F" w:rsidRDefault="00BB1E02">
      <w:pPr>
        <w:spacing w:after="360"/>
        <w:jc w:val="center"/>
      </w:pPr>
      <w:r>
        <w:rPr>
          <w:b/>
          <w:color w:val="777777"/>
          <w:sz w:val="18"/>
        </w:rPr>
        <w:t>Illustrative supply chain map, calibrated to Abbot Laboratories's disclosed sector and scale — not actual company supplier, distribution, or process information.</w:t>
      </w:r>
    </w:p>
    <w:p w14:paraId="24694BAF" w14:textId="77777777" w:rsidR="0059677F" w:rsidRDefault="00BB1E02">
      <w:pPr>
        <w:spacing w:after="40"/>
      </w:pPr>
      <w:r>
        <w:rPr>
          <w:b/>
          <w:color w:val="003366"/>
          <w:sz w:val="44"/>
        </w:rPr>
        <w:t>Supply Chain Map: Surbex-Z</w:t>
      </w:r>
    </w:p>
    <w:p w14:paraId="76894406" w14:textId="77777777" w:rsidR="0059677F" w:rsidRDefault="00BB1E02">
      <w:pPr>
        <w:spacing w:after="240"/>
      </w:pPr>
      <w:r>
        <w:rPr>
          <w:color w:val="4682B4"/>
          <w:sz w:val="26"/>
        </w:rPr>
        <w:t>Abbott Laboratories (Pakistan) Limited</w:t>
      </w:r>
    </w:p>
    <w:tbl>
      <w:tblPr>
        <w:tblW w:w="0" w:type="auto"/>
        <w:jc w:val="center"/>
        <w:tblLayout w:type="fixed"/>
        <w:tblLook w:val="04A0" w:firstRow="1" w:lastRow="0" w:firstColumn="1" w:lastColumn="0" w:noHBand="0" w:noVBand="1"/>
      </w:tblPr>
      <w:tblGrid>
        <w:gridCol w:w="9360"/>
      </w:tblGrid>
      <w:tr w:rsidR="0059677F" w14:paraId="23C5193F" w14:textId="77777777">
        <w:trPr>
          <w:jc w:val="center"/>
        </w:trPr>
        <w:tc>
          <w:tcPr>
            <w:tcW w:w="9360" w:type="dxa"/>
            <w:tcBorders>
              <w:left w:val="single" w:sz="24" w:space="0" w:color="003366"/>
            </w:tcBorders>
            <w:shd w:val="clear" w:color="auto" w:fill="F4F6F8"/>
            <w:tcMar>
              <w:top w:w="140" w:type="dxa"/>
              <w:left w:w="200" w:type="dxa"/>
              <w:bottom w:w="140" w:type="dxa"/>
              <w:right w:w="200" w:type="dxa"/>
            </w:tcMar>
          </w:tcPr>
          <w:p w14:paraId="0B039704" w14:textId="77777777" w:rsidR="0059677F" w:rsidRDefault="00BB1E02">
            <w:pPr>
              <w:spacing w:after="0"/>
            </w:pPr>
            <w:r>
              <w:rPr>
                <w:i/>
                <w:color w:val="505050"/>
                <w:sz w:val="19"/>
              </w:rPr>
              <w:t>Context Alignment: Abbott Laboratories (Pakistan) Limited is a large-scale, publicly listed pharmaceutical company operating major manufacturing facilities in Karachi (Landhi and West Wharf). Surbex-Z is a widely distributed high-potency Vitamin B-complex with Zinc, requiring strictly regulated pharmaceutical manufacturing and nationwide cold-chain/ambient distribution.</w:t>
            </w:r>
          </w:p>
        </w:tc>
      </w:tr>
    </w:tbl>
    <w:p w14:paraId="5B66407B" w14:textId="77777777" w:rsidR="0059677F" w:rsidRDefault="0059677F"/>
    <w:p w14:paraId="7CC48A2B" w14:textId="77777777" w:rsidR="0059677F" w:rsidRDefault="00BB1E02">
      <w:pPr>
        <w:keepNext/>
        <w:pBdr>
          <w:bottom w:val="single" w:sz="12" w:space="4" w:color="003366"/>
        </w:pBdr>
        <w:spacing w:before="320"/>
      </w:pPr>
      <w:r>
        <w:rPr>
          <w:b/>
          <w:color w:val="003366"/>
          <w:sz w:val="32"/>
        </w:rPr>
        <w:t>1. Upstream (Tier 2 and Tier 1 Suppliers)</w:t>
      </w:r>
    </w:p>
    <w:p w14:paraId="1AF58B82" w14:textId="77777777" w:rsidR="0059677F" w:rsidRDefault="00BB1E02">
      <w:pPr>
        <w:keepNext/>
        <w:spacing w:before="240" w:after="80"/>
      </w:pPr>
      <w:r>
        <w:rPr>
          <w:b/>
          <w:color w:val="4682B4"/>
          <w:sz w:val="26"/>
        </w:rPr>
        <w:t>Active Pharmaceutical Ingredients (APIs)</w:t>
      </w:r>
    </w:p>
    <w:p w14:paraId="58F5C5AE" w14:textId="77777777" w:rsidR="0059677F" w:rsidRDefault="00BB1E02">
      <w:pPr>
        <w:spacing w:after="60"/>
        <w:ind w:left="288"/>
      </w:pPr>
      <w:r>
        <w:rPr>
          <w:b/>
          <w:color w:val="003366"/>
        </w:rPr>
        <w:t xml:space="preserve">• Tier 2 Source: </w:t>
      </w:r>
      <w:r>
        <w:t>Chemical precursors and fermented nutrient bases (imported, primarily sourced from specialized fine-chemical manufacturers in China or India).</w:t>
      </w:r>
    </w:p>
    <w:p w14:paraId="67AD7AAD" w14:textId="77777777" w:rsidR="0059677F" w:rsidRDefault="00BB1E02">
      <w:pPr>
        <w:spacing w:after="160"/>
        <w:ind w:left="288"/>
      </w:pPr>
      <w:r>
        <w:rPr>
          <w:b/>
          <w:color w:val="003366"/>
        </w:rPr>
        <w:t xml:space="preserve">• Tier 1 Supplier Type: </w:t>
      </w:r>
      <w:r>
        <w:t>Certified API Synthesis/Refinement Plants that process, purify, and standardize bulk vitamins (Zinc sulfate, B-complex group: B1, B2, B6, B12, Niacinamide) to Pharmacopeial (USP/BP) standards.</w:t>
      </w:r>
    </w:p>
    <w:p w14:paraId="05483038" w14:textId="77777777" w:rsidR="0059677F" w:rsidRDefault="00BB1E02">
      <w:pPr>
        <w:keepNext/>
        <w:spacing w:before="240" w:after="80"/>
      </w:pPr>
      <w:r>
        <w:rPr>
          <w:b/>
          <w:color w:val="4682B4"/>
          <w:sz w:val="26"/>
        </w:rPr>
        <w:t>Excipients &amp; Binding Agents</w:t>
      </w:r>
    </w:p>
    <w:p w14:paraId="3D6E8100" w14:textId="77777777" w:rsidR="0059677F" w:rsidRDefault="00BB1E02">
      <w:pPr>
        <w:spacing w:after="60"/>
        <w:ind w:left="288"/>
      </w:pPr>
      <w:r>
        <w:rPr>
          <w:b/>
          <w:color w:val="003366"/>
        </w:rPr>
        <w:t xml:space="preserve">• Tier 2 Source: </w:t>
      </w:r>
      <w:r>
        <w:t>Agricultural starch crops and petrochemical derivatives (sourced domestically or from regional Asian suppliers).</w:t>
      </w:r>
    </w:p>
    <w:p w14:paraId="5357C0BB" w14:textId="77777777" w:rsidR="0059677F" w:rsidRDefault="00BB1E02">
      <w:pPr>
        <w:spacing w:after="160"/>
        <w:ind w:left="288"/>
      </w:pPr>
      <w:r>
        <w:rPr>
          <w:b/>
          <w:color w:val="003366"/>
        </w:rPr>
        <w:t xml:space="preserve">• Tier 1 Supplier Type: </w:t>
      </w:r>
      <w:r>
        <w:t>Specialty Excipient Manufacturers producing pharmaceutical-grade binders, disintegrants, lubricants (e.g., magnesium stearate), and film-coating polymers.</w:t>
      </w:r>
    </w:p>
    <w:p w14:paraId="688996B4" w14:textId="77777777" w:rsidR="0059677F" w:rsidRDefault="00BB1E02">
      <w:pPr>
        <w:keepNext/>
        <w:spacing w:before="240" w:after="80"/>
      </w:pPr>
      <w:r>
        <w:rPr>
          <w:b/>
          <w:color w:val="4682B4"/>
          <w:sz w:val="26"/>
        </w:rPr>
        <w:t>Primary Packaging (Blister Foil &amp; Film)</w:t>
      </w:r>
    </w:p>
    <w:p w14:paraId="01677041" w14:textId="77777777" w:rsidR="0059677F" w:rsidRDefault="00BB1E02">
      <w:pPr>
        <w:spacing w:after="60"/>
        <w:ind w:left="288"/>
      </w:pPr>
      <w:r>
        <w:rPr>
          <w:b/>
          <w:color w:val="003366"/>
        </w:rPr>
        <w:t xml:space="preserve">• Tier 2 Source: </w:t>
      </w:r>
      <w:r>
        <w:t>Bauxite mining/aluminum smelting and polymer resin production (Middle East / Europe).</w:t>
      </w:r>
    </w:p>
    <w:p w14:paraId="784A2090" w14:textId="77777777" w:rsidR="0059677F" w:rsidRDefault="00BB1E02">
      <w:pPr>
        <w:spacing w:after="160"/>
        <w:ind w:left="288"/>
      </w:pPr>
      <w:r>
        <w:rPr>
          <w:b/>
          <w:color w:val="003366"/>
        </w:rPr>
        <w:t xml:space="preserve">• Tier 1 Supplier Type: </w:t>
      </w:r>
      <w:r>
        <w:t>Specialized Packaging Converters producing cold-formable aluminum foil, PVC/PVDC films, and printed barrier materials under cleanroom conditions.</w:t>
      </w:r>
    </w:p>
    <w:p w14:paraId="4ED021EF" w14:textId="77777777" w:rsidR="0059677F" w:rsidRDefault="00BB1E02">
      <w:pPr>
        <w:keepNext/>
        <w:spacing w:before="240" w:after="80"/>
      </w:pPr>
      <w:r>
        <w:rPr>
          <w:b/>
          <w:color w:val="4682B4"/>
          <w:sz w:val="26"/>
        </w:rPr>
        <w:t>Secondary Packaging (Cartons &amp; Product Inserts)</w:t>
      </w:r>
    </w:p>
    <w:p w14:paraId="21B2A950" w14:textId="77777777" w:rsidR="0059677F" w:rsidRDefault="00BB1E02">
      <w:pPr>
        <w:spacing w:after="60"/>
        <w:ind w:left="288"/>
      </w:pPr>
      <w:r>
        <w:rPr>
          <w:b/>
          <w:color w:val="003366"/>
        </w:rPr>
        <w:t xml:space="preserve">• Tier 2 Source: </w:t>
      </w:r>
      <w:r>
        <w:t>Paper pulp mills (domestic or imported timber sources).</w:t>
      </w:r>
    </w:p>
    <w:p w14:paraId="5E163395" w14:textId="77777777" w:rsidR="0059677F" w:rsidRDefault="00BB1E02">
      <w:pPr>
        <w:spacing w:after="160"/>
        <w:ind w:left="288"/>
      </w:pPr>
      <w:r>
        <w:rPr>
          <w:b/>
          <w:color w:val="003366"/>
        </w:rPr>
        <w:t xml:space="preserve">• Tier 1 Supplier Type: </w:t>
      </w:r>
      <w:r>
        <w:t>High-precision local print and packaging vendors providing serialized paperboard boxes, corrugated outer shippers, and leaflet inserts.</w:t>
      </w:r>
    </w:p>
    <w:p w14:paraId="14C5CCF3" w14:textId="77777777" w:rsidR="0059677F" w:rsidRDefault="00BB1E02">
      <w:pPr>
        <w:keepNext/>
        <w:pBdr>
          <w:bottom w:val="single" w:sz="12" w:space="4" w:color="003366"/>
        </w:pBdr>
        <w:spacing w:before="320"/>
      </w:pPr>
      <w:r>
        <w:rPr>
          <w:b/>
          <w:color w:val="003366"/>
          <w:sz w:val="32"/>
        </w:rPr>
        <w:lastRenderedPageBreak/>
        <w:t>2. Manufacturing (Internal Operations at Karachi Plant)</w:t>
      </w:r>
    </w:p>
    <w:p w14:paraId="03543663" w14:textId="77777777" w:rsidR="0059677F" w:rsidRDefault="00BB1E02">
      <w:pPr>
        <w:ind w:left="288"/>
      </w:pPr>
      <w:r>
        <w:rPr>
          <w:b/>
          <w:color w:val="003366"/>
        </w:rPr>
        <w:t xml:space="preserve">• Phase 1: Material Preparation: </w:t>
      </w:r>
      <w:r>
        <w:rPr>
          <w:b/>
        </w:rPr>
        <w:t xml:space="preserve">Dispensing &amp; Wet Granulation — </w:t>
      </w:r>
      <w:r>
        <w:t>Raw APIs and excipients are weighed in negative-pressure booths to prevent cross-contamination. Binders are added to blend the powder mixture into wet granules using high-shear mixer-granulators.</w:t>
      </w:r>
    </w:p>
    <w:p w14:paraId="50B7189B" w14:textId="77777777" w:rsidR="0059677F" w:rsidRDefault="00BB1E02">
      <w:pPr>
        <w:ind w:left="288"/>
      </w:pPr>
      <w:r>
        <w:rPr>
          <w:b/>
          <w:color w:val="003366"/>
        </w:rPr>
        <w:t xml:space="preserve">• Phase 2: Granule Preparation: </w:t>
      </w:r>
      <w:r>
        <w:rPr>
          <w:b/>
        </w:rPr>
        <w:t xml:space="preserve">Fluid Bed Drying &amp; Milling — </w:t>
      </w:r>
      <w:r>
        <w:t>Wet granules pass through a fluid bed dryer to reduce moisture to precise thresholds. Dried granules are milled and screened to ensure uniform particle size for consistent tablet compression.</w:t>
      </w:r>
    </w:p>
    <w:p w14:paraId="1B37C556" w14:textId="77777777" w:rsidR="0059677F" w:rsidRDefault="00BB1E02">
      <w:pPr>
        <w:ind w:left="288"/>
      </w:pPr>
      <w:r>
        <w:rPr>
          <w:b/>
          <w:color w:val="003366"/>
        </w:rPr>
        <w:t xml:space="preserve">• Phase 3: Core Production: </w:t>
      </w:r>
      <w:r>
        <w:rPr>
          <w:b/>
        </w:rPr>
        <w:t xml:space="preserve">Tableting (Compression) &amp; Film Coating — </w:t>
      </w:r>
      <w:r>
        <w:t>Granules are compressed into high-speed rotary tablet presses. The core tablets are subsequently transferred to perforated coating pans where a moisture- and light-protective film coat is applied.</w:t>
      </w:r>
    </w:p>
    <w:p w14:paraId="459A2240" w14:textId="77777777" w:rsidR="0059677F" w:rsidRDefault="00BB1E02">
      <w:pPr>
        <w:ind w:left="288"/>
      </w:pPr>
      <w:r>
        <w:rPr>
          <w:b/>
          <w:color w:val="003366"/>
        </w:rPr>
        <w:t xml:space="preserve">• Phase 4: Packaging &amp; Serialization: </w:t>
      </w:r>
      <w:r>
        <w:rPr>
          <w:b/>
        </w:rPr>
        <w:t xml:space="preserve">Blister Packing &amp; Secondary Cartoning — </w:t>
      </w:r>
      <w:r>
        <w:t>Coated tablets are automatically fed into thermoformed or aluminum blister packs, leak-tested, enclosed in cardboard unit boxes with leaflets, and stamped with batch details and 2D serialization codes.</w:t>
      </w:r>
    </w:p>
    <w:p w14:paraId="4520B8F5" w14:textId="77777777" w:rsidR="0059677F" w:rsidRDefault="00BB1E02">
      <w:pPr>
        <w:ind w:left="288"/>
      </w:pPr>
      <w:r>
        <w:rPr>
          <w:b/>
          <w:color w:val="003366"/>
        </w:rPr>
        <w:t xml:space="preserve">• Phase 5: Compliance Verification: </w:t>
      </w:r>
      <w:r>
        <w:rPr>
          <w:b/>
        </w:rPr>
        <w:t xml:space="preserve">Quality Assurance Release &amp; Quarantine — </w:t>
      </w:r>
      <w:r>
        <w:t>Finished goods remain in a temperature-controlled quarantine storage while physical, chemical, and microbiological testing is finalized prior to formal batch release.</w:t>
      </w:r>
    </w:p>
    <w:p w14:paraId="13646254" w14:textId="77777777" w:rsidR="0059677F" w:rsidRDefault="0059677F">
      <w:pPr>
        <w:spacing w:before="160" w:after="160"/>
      </w:pPr>
    </w:p>
    <w:tbl>
      <w:tblPr>
        <w:tblW w:w="0" w:type="auto"/>
        <w:jc w:val="center"/>
        <w:tblLayout w:type="fixed"/>
        <w:tblLook w:val="04A0" w:firstRow="1" w:lastRow="0" w:firstColumn="1" w:lastColumn="0" w:noHBand="0" w:noVBand="1"/>
      </w:tblPr>
      <w:tblGrid>
        <w:gridCol w:w="9360"/>
      </w:tblGrid>
      <w:tr w:rsidR="0059677F" w14:paraId="284C59FB" w14:textId="77777777">
        <w:trPr>
          <w:jc w:val="center"/>
        </w:trPr>
        <w:tc>
          <w:tcPr>
            <w:tcW w:w="9360" w:type="dxa"/>
            <w:tcBorders>
              <w:left w:val="single" w:sz="24" w:space="0" w:color="003366"/>
            </w:tcBorders>
            <w:shd w:val="clear" w:color="auto" w:fill="F4F6F8"/>
            <w:tcMar>
              <w:top w:w="140" w:type="dxa"/>
              <w:left w:w="200" w:type="dxa"/>
              <w:bottom w:w="140" w:type="dxa"/>
              <w:right w:w="200" w:type="dxa"/>
            </w:tcMar>
          </w:tcPr>
          <w:p w14:paraId="0D1CE365" w14:textId="77777777" w:rsidR="0059677F" w:rsidRDefault="00BB1E02">
            <w:pPr>
              <w:spacing w:after="0"/>
            </w:pPr>
            <w:r>
              <w:rPr>
                <w:i/>
                <w:color w:val="505050"/>
                <w:sz w:val="19"/>
              </w:rPr>
              <w:t>Bottleneck Stage: Film Coating and Quality Assurance (QA) Testing/Release. The film coating phase is a batch process constrained by spray rates, air balance, and thermal limits to prevent tablet degradation. Subsequently, mandatory analytical stability and micro-testing during QA quarantine create a fixed non-negotiable delay before goods can move downstream.</w:t>
            </w:r>
          </w:p>
        </w:tc>
      </w:tr>
    </w:tbl>
    <w:p w14:paraId="1424C62E" w14:textId="77777777" w:rsidR="0059677F" w:rsidRDefault="00BB1E02">
      <w:pPr>
        <w:keepNext/>
        <w:pBdr>
          <w:bottom w:val="single" w:sz="12" w:space="4" w:color="003366"/>
        </w:pBdr>
        <w:spacing w:before="320"/>
      </w:pPr>
      <w:r>
        <w:rPr>
          <w:b/>
          <w:color w:val="003366"/>
          <w:sz w:val="32"/>
        </w:rPr>
        <w:t>3. Downstream (Distribution to Customer)</w:t>
      </w:r>
    </w:p>
    <w:p w14:paraId="61D39DF0" w14:textId="77777777" w:rsidR="0059677F" w:rsidRDefault="00BB1E02">
      <w:r>
        <w:rPr>
          <w:b/>
          <w:color w:val="003366"/>
        </w:rPr>
        <w:t xml:space="preserve">Distribution Path: </w:t>
      </w:r>
      <w:r>
        <w:t>Finished goods move from the Karachi Plant → Centralized Warehouse (Karachi) → Regional Distribution Centers (RDCs) in major urban hubs (e.g., Lahore, Rawalpindi, Multan) → Wholesalers / Institutional Distributors → Retail Pharmacies / Hospital Pharmacies → End Patient / Consumer.</w:t>
      </w:r>
    </w:p>
    <w:p w14:paraId="0E5EE81E" w14:textId="77777777" w:rsidR="0059677F" w:rsidRDefault="00BB1E02">
      <w:r>
        <w:rPr>
          <w:b/>
          <w:color w:val="003366"/>
        </w:rPr>
        <w:t xml:space="preserve">Tier Count: </w:t>
      </w:r>
      <w:r>
        <w:t>The product passes through 4 Tiers from the plant gate to reaching the end consumer.</w:t>
      </w:r>
    </w:p>
    <w:p w14:paraId="69FB77E6" w14:textId="77777777" w:rsidR="0059677F" w:rsidRDefault="00BB1E02">
      <w:pPr>
        <w:keepNext/>
        <w:pBdr>
          <w:bottom w:val="single" w:sz="12" w:space="4" w:color="003366"/>
        </w:pBdr>
        <w:spacing w:before="320"/>
      </w:pPr>
      <w:r>
        <w:rPr>
          <w:b/>
          <w:color w:val="003366"/>
          <w:sz w:val="32"/>
        </w:rPr>
        <w:t>4. Information &amp; Financial Flow</w:t>
      </w:r>
    </w:p>
    <w:p w14:paraId="6F33AAD0" w14:textId="77777777" w:rsidR="0059677F" w:rsidRDefault="00BB1E02">
      <w:r>
        <w:rPr>
          <w:b/>
          <w:color w:val="003366"/>
        </w:rPr>
        <w:t xml:space="preserve">Information Flow: </w:t>
      </w:r>
      <w:r>
        <w:t>Retail consumption and stock levels trigger periodic replenishment orders from pharmacies to regional distributors, which aggregate demand data back to Abbott's central supply chain team via enterprise resource planning (ERP) systems to drive production scheduling.</w:t>
      </w:r>
    </w:p>
    <w:p w14:paraId="2C2CDBDC" w14:textId="77777777" w:rsidR="0059677F" w:rsidRDefault="00BB1E02">
      <w:r>
        <w:rPr>
          <w:b/>
          <w:color w:val="003366"/>
        </w:rPr>
        <w:t xml:space="preserve">Financial Flow: </w:t>
      </w:r>
      <w:r>
        <w:t>Retailers purchase from distributors on short credit terms (15–30 days); distributors maintain rolling credit lines with the manufacturer backed by bank guarantees, while international API/packaging suppliers operate on Letters of Credit (LCs) or 60–90 day payment terms.</w:t>
      </w:r>
    </w:p>
    <w:p w14:paraId="4FFB48C8" w14:textId="77777777" w:rsidR="0059677F" w:rsidRDefault="00BB1E02">
      <w:pPr>
        <w:keepNext/>
        <w:pBdr>
          <w:bottom w:val="single" w:sz="12" w:space="4" w:color="003366"/>
        </w:pBdr>
        <w:spacing w:before="320"/>
      </w:pPr>
      <w:r>
        <w:rPr>
          <w:b/>
          <w:color w:val="003366"/>
          <w:sz w:val="32"/>
        </w:rPr>
        <w:lastRenderedPageBreak/>
        <w:t>5. Simple Text Diagram</w:t>
      </w:r>
    </w:p>
    <w:tbl>
      <w:tblPr>
        <w:tblW w:w="0" w:type="auto"/>
        <w:jc w:val="center"/>
        <w:tblLook w:val="04A0" w:firstRow="1" w:lastRow="0" w:firstColumn="1" w:lastColumn="0" w:noHBand="0" w:noVBand="1"/>
      </w:tblPr>
      <w:tblGrid>
        <w:gridCol w:w="9344"/>
      </w:tblGrid>
      <w:tr w:rsidR="0059677F" w14:paraId="611C1FF7" w14:textId="77777777">
        <w:trPr>
          <w:jc w:val="center"/>
        </w:trPr>
        <w:tc>
          <w:tcPr>
            <w:tcW w:w="9360" w:type="dxa"/>
            <w:tcBorders>
              <w:top w:val="single" w:sz="6" w:space="0" w:color="B0C4DE"/>
              <w:left w:val="single" w:sz="6" w:space="0" w:color="B0C4DE"/>
              <w:bottom w:val="single" w:sz="6" w:space="0" w:color="B0C4DE"/>
              <w:right w:val="single" w:sz="6" w:space="0" w:color="B0C4DE"/>
            </w:tcBorders>
            <w:shd w:val="clear" w:color="auto" w:fill="F0F4F8"/>
            <w:tcMar>
              <w:top w:w="140" w:type="dxa"/>
              <w:left w:w="180" w:type="dxa"/>
              <w:bottom w:w="140" w:type="dxa"/>
              <w:right w:w="180" w:type="dxa"/>
            </w:tcMar>
          </w:tcPr>
          <w:p w14:paraId="762413E5" w14:textId="77777777" w:rsidR="0059677F" w:rsidRDefault="00BB1E02">
            <w:pPr>
              <w:spacing w:after="0"/>
              <w:jc w:val="center"/>
            </w:pPr>
            <w:r>
              <w:rPr>
                <w:b/>
                <w:color w:val="003366"/>
                <w:sz w:val="19"/>
              </w:rPr>
              <w:t>Raw Material Sources (Global/Domestic)  →  Tier 1 Suppliers (API, Excipients, Foil)  →  Abbott Karachi Factory  →  Central Warehouse &amp; RDCs  →  Wholesalers / Distributors  →  Retail &amp; Hospital Pharmacies  →  End Patient</w:t>
            </w:r>
          </w:p>
        </w:tc>
      </w:tr>
    </w:tbl>
    <w:p w14:paraId="0F03369A" w14:textId="77777777" w:rsidR="0059677F" w:rsidRDefault="00BB1E02">
      <w:pPr>
        <w:keepNext/>
        <w:pBdr>
          <w:bottom w:val="single" w:sz="12" w:space="4" w:color="003366"/>
        </w:pBdr>
        <w:spacing w:before="320"/>
      </w:pPr>
      <w:r>
        <w:rPr>
          <w:b/>
          <w:color w:val="003366"/>
          <w:sz w:val="32"/>
        </w:rPr>
        <w:t>6. Lead Time Estimates</w:t>
      </w:r>
    </w:p>
    <w:tbl>
      <w:tblPr>
        <w:tblW w:w="0" w:type="auto"/>
        <w:jc w:val="center"/>
        <w:tblLayout w:type="fixed"/>
        <w:tblLook w:val="04A0" w:firstRow="1" w:lastRow="0" w:firstColumn="1" w:lastColumn="0" w:noHBand="0" w:noVBand="1"/>
      </w:tblPr>
      <w:tblGrid>
        <w:gridCol w:w="2592"/>
        <w:gridCol w:w="1872"/>
        <w:gridCol w:w="4896"/>
      </w:tblGrid>
      <w:tr w:rsidR="0059677F" w14:paraId="4BF3FA61" w14:textId="77777777">
        <w:trPr>
          <w:tblHeader/>
          <w:jc w:val="center"/>
        </w:trPr>
        <w:tc>
          <w:tcPr>
            <w:tcW w:w="2592" w:type="dxa"/>
            <w:shd w:val="clear" w:color="auto" w:fill="003366"/>
            <w:tcMar>
              <w:top w:w="120" w:type="dxa"/>
              <w:left w:w="120" w:type="dxa"/>
              <w:bottom w:w="120" w:type="dxa"/>
              <w:right w:w="120" w:type="dxa"/>
            </w:tcMar>
          </w:tcPr>
          <w:p w14:paraId="09526CB1" w14:textId="77777777" w:rsidR="0059677F" w:rsidRDefault="00BB1E02">
            <w:pPr>
              <w:spacing w:after="0"/>
            </w:pPr>
            <w:r>
              <w:rPr>
                <w:b/>
                <w:color w:val="FFFFFF"/>
                <w:sz w:val="20"/>
              </w:rPr>
              <w:t>Supply Chain Link</w:t>
            </w:r>
          </w:p>
        </w:tc>
        <w:tc>
          <w:tcPr>
            <w:tcW w:w="1872" w:type="dxa"/>
            <w:shd w:val="clear" w:color="auto" w:fill="003366"/>
            <w:tcMar>
              <w:top w:w="120" w:type="dxa"/>
              <w:left w:w="120" w:type="dxa"/>
              <w:bottom w:w="120" w:type="dxa"/>
              <w:right w:w="120" w:type="dxa"/>
            </w:tcMar>
          </w:tcPr>
          <w:p w14:paraId="3A20855D" w14:textId="77777777" w:rsidR="0059677F" w:rsidRDefault="00BB1E02">
            <w:pPr>
              <w:spacing w:after="0"/>
            </w:pPr>
            <w:r>
              <w:rPr>
                <w:b/>
                <w:color w:val="FFFFFF"/>
                <w:sz w:val="20"/>
              </w:rPr>
              <w:t>Lead Time Range</w:t>
            </w:r>
          </w:p>
        </w:tc>
        <w:tc>
          <w:tcPr>
            <w:tcW w:w="4896" w:type="dxa"/>
            <w:shd w:val="clear" w:color="auto" w:fill="003366"/>
            <w:tcMar>
              <w:top w:w="120" w:type="dxa"/>
              <w:left w:w="120" w:type="dxa"/>
              <w:bottom w:w="120" w:type="dxa"/>
              <w:right w:w="120" w:type="dxa"/>
            </w:tcMar>
          </w:tcPr>
          <w:p w14:paraId="0CA90A12" w14:textId="77777777" w:rsidR="0059677F" w:rsidRDefault="00BB1E02">
            <w:pPr>
              <w:spacing w:after="0"/>
            </w:pPr>
            <w:r>
              <w:rPr>
                <w:b/>
                <w:color w:val="FFFFFF"/>
                <w:sz w:val="20"/>
              </w:rPr>
              <w:t>Reasoning</w:t>
            </w:r>
          </w:p>
        </w:tc>
      </w:tr>
      <w:tr w:rsidR="0059677F" w14:paraId="7DEF58CE"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4F6F8"/>
            <w:tcMar>
              <w:top w:w="100" w:type="dxa"/>
              <w:left w:w="120" w:type="dxa"/>
              <w:bottom w:w="100" w:type="dxa"/>
              <w:right w:w="120" w:type="dxa"/>
            </w:tcMar>
            <w:vAlign w:val="center"/>
          </w:tcPr>
          <w:p w14:paraId="69D92AA9" w14:textId="77777777" w:rsidR="0059677F" w:rsidRDefault="00BB1E02">
            <w:pPr>
              <w:spacing w:after="0"/>
            </w:pPr>
            <w:r>
              <w:rPr>
                <w:b/>
                <w:sz w:val="19"/>
              </w:rPr>
              <w:t>Supplier → Factory</w:t>
            </w:r>
          </w:p>
        </w:tc>
        <w:tc>
          <w:tcPr>
            <w:tcW w:w="1872" w:type="dxa"/>
            <w:tcBorders>
              <w:top w:val="single" w:sz="4" w:space="0" w:color="CCCCCC"/>
              <w:left w:val="single" w:sz="4" w:space="0" w:color="CCCCCC"/>
              <w:bottom w:val="single" w:sz="4" w:space="0" w:color="CCCCCC"/>
              <w:right w:val="single" w:sz="4" w:space="0" w:color="CCCCCC"/>
            </w:tcBorders>
            <w:shd w:val="clear" w:color="auto" w:fill="F4F6F8"/>
            <w:tcMar>
              <w:top w:w="100" w:type="dxa"/>
              <w:left w:w="120" w:type="dxa"/>
              <w:bottom w:w="100" w:type="dxa"/>
              <w:right w:w="120" w:type="dxa"/>
            </w:tcMar>
            <w:vAlign w:val="center"/>
          </w:tcPr>
          <w:p w14:paraId="4B4683EA" w14:textId="77777777" w:rsidR="0059677F" w:rsidRDefault="00BB1E02">
            <w:pPr>
              <w:spacing w:after="0"/>
            </w:pPr>
            <w:r>
              <w:rPr>
                <w:b/>
                <w:sz w:val="19"/>
              </w:rPr>
              <w:t>30 to 75 Days</w:t>
            </w:r>
          </w:p>
        </w:tc>
        <w:tc>
          <w:tcPr>
            <w:tcW w:w="4896" w:type="dxa"/>
            <w:tcBorders>
              <w:top w:val="single" w:sz="4" w:space="0" w:color="CCCCCC"/>
              <w:left w:val="single" w:sz="4" w:space="0" w:color="CCCCCC"/>
              <w:bottom w:val="single" w:sz="4" w:space="0" w:color="CCCCCC"/>
              <w:right w:val="single" w:sz="4" w:space="0" w:color="CCCCCC"/>
            </w:tcBorders>
            <w:shd w:val="clear" w:color="auto" w:fill="F4F6F8"/>
            <w:tcMar>
              <w:top w:w="100" w:type="dxa"/>
              <w:left w:w="120" w:type="dxa"/>
              <w:bottom w:w="100" w:type="dxa"/>
              <w:right w:w="120" w:type="dxa"/>
            </w:tcMar>
            <w:vAlign w:val="center"/>
          </w:tcPr>
          <w:p w14:paraId="6B3F7EC6" w14:textId="77777777" w:rsidR="0059677F" w:rsidRDefault="00BB1E02">
            <w:pPr>
              <w:spacing w:after="0"/>
            </w:pPr>
            <w:r>
              <w:rPr>
                <w:sz w:val="19"/>
              </w:rPr>
              <w:t>High reliance on imported APIs and specialized packaging requires maritime transport, customs clearance, port handling in Karachi, and quarantine sampling upon arrival.</w:t>
            </w:r>
          </w:p>
        </w:tc>
      </w:tr>
      <w:tr w:rsidR="0059677F" w14:paraId="7E3289D3"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622EBFCF" w14:textId="77777777" w:rsidR="0059677F" w:rsidRDefault="00BB1E02">
            <w:pPr>
              <w:spacing w:after="0"/>
            </w:pPr>
            <w:r>
              <w:rPr>
                <w:b/>
                <w:sz w:val="19"/>
              </w:rPr>
              <w:t>Factory → Regional DC</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36815479" w14:textId="77777777" w:rsidR="0059677F" w:rsidRDefault="00BB1E02">
            <w:pPr>
              <w:spacing w:after="0"/>
            </w:pPr>
            <w:r>
              <w:rPr>
                <w:b/>
                <w:sz w:val="19"/>
              </w:rPr>
              <w:t>3 to 7 Days</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vAlign w:val="center"/>
          </w:tcPr>
          <w:p w14:paraId="1A926B7E" w14:textId="77777777" w:rsidR="0059677F" w:rsidRDefault="00BB1E02">
            <w:pPr>
              <w:spacing w:after="0"/>
            </w:pPr>
            <w:r>
              <w:rPr>
                <w:sz w:val="19"/>
              </w:rPr>
              <w:t>Involves internal QA batch release, palletization, and overland long-haul trucking (via highway transport networks) from Karachi to northern hubs like Punjab or KPK.</w:t>
            </w:r>
          </w:p>
        </w:tc>
      </w:tr>
      <w:tr w:rsidR="0059677F" w14:paraId="6DCCF4DE"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4F6F8"/>
            <w:tcMar>
              <w:top w:w="100" w:type="dxa"/>
              <w:left w:w="120" w:type="dxa"/>
              <w:bottom w:w="100" w:type="dxa"/>
              <w:right w:w="120" w:type="dxa"/>
            </w:tcMar>
            <w:vAlign w:val="center"/>
          </w:tcPr>
          <w:p w14:paraId="73DE67AC" w14:textId="77777777" w:rsidR="0059677F" w:rsidRDefault="00BB1E02">
            <w:pPr>
              <w:spacing w:after="0"/>
            </w:pPr>
            <w:r>
              <w:rPr>
                <w:b/>
                <w:sz w:val="19"/>
              </w:rPr>
              <w:t>DC → Retailer</w:t>
            </w:r>
          </w:p>
        </w:tc>
        <w:tc>
          <w:tcPr>
            <w:tcW w:w="1872" w:type="dxa"/>
            <w:tcBorders>
              <w:top w:val="single" w:sz="4" w:space="0" w:color="CCCCCC"/>
              <w:left w:val="single" w:sz="4" w:space="0" w:color="CCCCCC"/>
              <w:bottom w:val="single" w:sz="4" w:space="0" w:color="CCCCCC"/>
              <w:right w:val="single" w:sz="4" w:space="0" w:color="CCCCCC"/>
            </w:tcBorders>
            <w:shd w:val="clear" w:color="auto" w:fill="F4F6F8"/>
            <w:tcMar>
              <w:top w:w="100" w:type="dxa"/>
              <w:left w:w="120" w:type="dxa"/>
              <w:bottom w:w="100" w:type="dxa"/>
              <w:right w:w="120" w:type="dxa"/>
            </w:tcMar>
            <w:vAlign w:val="center"/>
          </w:tcPr>
          <w:p w14:paraId="363C33C9" w14:textId="77777777" w:rsidR="0059677F" w:rsidRDefault="00BB1E02">
            <w:pPr>
              <w:spacing w:after="0"/>
            </w:pPr>
            <w:r>
              <w:rPr>
                <w:b/>
                <w:sz w:val="19"/>
              </w:rPr>
              <w:t>1 to 3 Days</w:t>
            </w:r>
          </w:p>
        </w:tc>
        <w:tc>
          <w:tcPr>
            <w:tcW w:w="4896" w:type="dxa"/>
            <w:tcBorders>
              <w:top w:val="single" w:sz="4" w:space="0" w:color="CCCCCC"/>
              <w:left w:val="single" w:sz="4" w:space="0" w:color="CCCCCC"/>
              <w:bottom w:val="single" w:sz="4" w:space="0" w:color="CCCCCC"/>
              <w:right w:val="single" w:sz="4" w:space="0" w:color="CCCCCC"/>
            </w:tcBorders>
            <w:shd w:val="clear" w:color="auto" w:fill="F4F6F8"/>
            <w:tcMar>
              <w:top w:w="100" w:type="dxa"/>
              <w:left w:w="120" w:type="dxa"/>
              <w:bottom w:w="100" w:type="dxa"/>
              <w:right w:w="120" w:type="dxa"/>
            </w:tcMar>
            <w:vAlign w:val="center"/>
          </w:tcPr>
          <w:p w14:paraId="3E9B7B10" w14:textId="77777777" w:rsidR="0059677F" w:rsidRDefault="00BB1E02">
            <w:pPr>
              <w:spacing w:after="0"/>
            </w:pPr>
            <w:r>
              <w:rPr>
                <w:sz w:val="19"/>
              </w:rPr>
              <w:t>Local distribution runs within metropolitan areas and secondary cities occur daily or bi-weekly via local distributor vans.</w:t>
            </w:r>
          </w:p>
        </w:tc>
      </w:tr>
    </w:tbl>
    <w:p w14:paraId="6ADAE39A" w14:textId="77777777" w:rsidR="0059677F" w:rsidRDefault="0059677F"/>
    <w:p w14:paraId="6A5A8DFE" w14:textId="77777777" w:rsidR="0059677F" w:rsidRDefault="00BB1E02">
      <w:pPr>
        <w:keepNext/>
        <w:pBdr>
          <w:bottom w:val="single" w:sz="12" w:space="4" w:color="003366"/>
        </w:pBdr>
        <w:spacing w:before="320"/>
      </w:pPr>
      <w:r>
        <w:rPr>
          <w:b/>
          <w:color w:val="003366"/>
          <w:sz w:val="32"/>
        </w:rPr>
        <w:t>Assumptions</w:t>
      </w:r>
    </w:p>
    <w:p w14:paraId="2F063DA3" w14:textId="77777777" w:rsidR="0059677F" w:rsidRDefault="00BB1E02">
      <w:r>
        <w:t>This illustrative supply chain map assumes a fully domestic consumer distribution model originating entirely from Abbott Laboratories' Karachi manufacturing facilities without third-party contract manufacturing. It assumes standard ambient and humidity-controlled logistics conditions typically required for film-coated multivitamin tablets rather than a cold-chain environment. The primary area of uncertainty lies in the specific international geographic origin of individual active ingredients, as well as exa</w:t>
      </w:r>
      <w:r>
        <w:t>ct local warehousing footprints and distributor agreements across Pakistan. A real internal supply chain map would capture granular details unavailable publicly, including safety stock levels at each node, specific supplier bill-of-materials (BOM) item numbers, proprietary batch yield parameters, transport route risks, and exact supplier lead-time variability metrics.</w:t>
      </w:r>
    </w:p>
    <w:sectPr w:rsidR="005967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679736">
    <w:abstractNumId w:val="8"/>
  </w:num>
  <w:num w:numId="2" w16cid:durableId="348874606">
    <w:abstractNumId w:val="6"/>
  </w:num>
  <w:num w:numId="3" w16cid:durableId="1445464476">
    <w:abstractNumId w:val="5"/>
  </w:num>
  <w:num w:numId="4" w16cid:durableId="843546128">
    <w:abstractNumId w:val="4"/>
  </w:num>
  <w:num w:numId="5" w16cid:durableId="2023972626">
    <w:abstractNumId w:val="7"/>
  </w:num>
  <w:num w:numId="6" w16cid:durableId="1657687088">
    <w:abstractNumId w:val="3"/>
  </w:num>
  <w:num w:numId="7" w16cid:durableId="323095037">
    <w:abstractNumId w:val="2"/>
  </w:num>
  <w:num w:numId="8" w16cid:durableId="1349481160">
    <w:abstractNumId w:val="1"/>
  </w:num>
  <w:num w:numId="9" w16cid:durableId="1940327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7D7"/>
    <w:rsid w:val="0006063C"/>
    <w:rsid w:val="001314D9"/>
    <w:rsid w:val="0015074B"/>
    <w:rsid w:val="0029639D"/>
    <w:rsid w:val="00326F90"/>
    <w:rsid w:val="0059677F"/>
    <w:rsid w:val="00731711"/>
    <w:rsid w:val="00AA1D8D"/>
    <w:rsid w:val="00B47730"/>
    <w:rsid w:val="00BB1E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6BCC1"/>
  <w14:defaultImageDpi w14:val="300"/>
  <w15:docId w15:val="{AFE8DAAC-B9F8-49F4-9252-D2F5E5746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Faria Zulfiqar</cp:lastModifiedBy>
  <cp:revision>2</cp:revision>
  <dcterms:created xsi:type="dcterms:W3CDTF">2026-09-09T15:57:00Z</dcterms:created>
  <dcterms:modified xsi:type="dcterms:W3CDTF">2026-09-09T15:57:00Z</dcterms:modified>
  <cp:category/>
</cp:coreProperties>
</file>