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Acceptable Use Policy</w:t>
      </w:r>
    </w:p>
    <w:p>
      <w:r>
        <w:t>Last Reviewed: 2026-04-15</w:t>
      </w:r>
    </w:p>
    <w:p>
      <w:pPr>
        <w:pStyle w:val="Heading2"/>
      </w:pPr>
      <w:r>
        <w:t>Acceptable Use</w:t>
      </w:r>
    </w:p>
    <w:p>
      <w:r>
        <w:t>Company systems must be used for legitimate business purposes.</w:t>
      </w:r>
    </w:p>
    <w:p>
      <w:pPr>
        <w:pStyle w:val="Heading2"/>
      </w:pPr>
      <w:r>
        <w:t>Prohibited Use</w:t>
      </w:r>
    </w:p>
    <w:p>
      <w:r>
        <w:t>Users must not use company systems for illegal activity, harassment, or unauthorized data exfiltration.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