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70057" w14:textId="77777777" w:rsidR="00A81179" w:rsidRDefault="00A81179">
      <w:pPr>
        <w:pStyle w:val="Title"/>
        <w:rPr>
          <w:b/>
          <w:sz w:val="24"/>
          <w:szCs w:val="24"/>
        </w:rPr>
      </w:pPr>
    </w:p>
    <w:p w14:paraId="6204D91A" w14:textId="77777777" w:rsidR="00A81179" w:rsidRDefault="00000000">
      <w:pPr>
        <w:pStyle w:val="Title"/>
        <w:jc w:val="center"/>
        <w:rPr>
          <w:b/>
          <w:sz w:val="24"/>
          <w:szCs w:val="24"/>
        </w:rPr>
      </w:pPr>
      <w:r>
        <w:rPr>
          <w:b/>
          <w:sz w:val="24"/>
          <w:szCs w:val="24"/>
        </w:rPr>
        <w:t>Report Title:</w:t>
      </w:r>
    </w:p>
    <w:p w14:paraId="6F09AFEE" w14:textId="66AB5662" w:rsidR="00A81179" w:rsidRDefault="00000000">
      <w:pPr>
        <w:pStyle w:val="Title"/>
        <w:jc w:val="center"/>
        <w:rPr>
          <w:b/>
          <w:sz w:val="24"/>
          <w:szCs w:val="24"/>
        </w:rPr>
      </w:pPr>
      <w:bookmarkStart w:id="0" w:name="_heading=h.z3vpxssu4nk4" w:colFirst="0" w:colLast="0"/>
      <w:bookmarkEnd w:id="0"/>
      <w:r>
        <w:rPr>
          <w:b/>
          <w:sz w:val="24"/>
          <w:szCs w:val="24"/>
        </w:rPr>
        <w:t xml:space="preserve">TK </w:t>
      </w:r>
      <w:r w:rsidR="0053220B">
        <w:rPr>
          <w:b/>
          <w:sz w:val="24"/>
          <w:szCs w:val="24"/>
        </w:rPr>
        <w:t>-</w:t>
      </w:r>
      <w:r w:rsidR="003045AB">
        <w:rPr>
          <w:b/>
          <w:sz w:val="24"/>
          <w:szCs w:val="24"/>
        </w:rPr>
        <w:t xml:space="preserve"> 1210.01</w:t>
      </w:r>
      <w:r w:rsidR="001F105C">
        <w:rPr>
          <w:b/>
          <w:sz w:val="24"/>
          <w:szCs w:val="24"/>
        </w:rPr>
        <w:t>.01</w:t>
      </w:r>
      <w:r>
        <w:rPr>
          <w:b/>
          <w:sz w:val="24"/>
          <w:szCs w:val="24"/>
        </w:rPr>
        <w:t xml:space="preserve"> - </w:t>
      </w:r>
      <w:r w:rsidR="00F14099">
        <w:rPr>
          <w:b/>
          <w:sz w:val="24"/>
          <w:szCs w:val="24"/>
        </w:rPr>
        <w:t>06</w:t>
      </w:r>
      <w:r>
        <w:rPr>
          <w:b/>
          <w:sz w:val="24"/>
          <w:szCs w:val="24"/>
        </w:rPr>
        <w:t>/</w:t>
      </w:r>
      <w:r w:rsidR="00E141A4">
        <w:rPr>
          <w:b/>
          <w:sz w:val="24"/>
          <w:szCs w:val="24"/>
        </w:rPr>
        <w:t>05</w:t>
      </w:r>
      <w:r>
        <w:rPr>
          <w:b/>
          <w:sz w:val="24"/>
          <w:szCs w:val="24"/>
        </w:rPr>
        <w:t>/25</w:t>
      </w:r>
    </w:p>
    <w:p w14:paraId="61AF3678" w14:textId="77777777" w:rsidR="00A81179" w:rsidRDefault="00000000">
      <w:pPr>
        <w:pStyle w:val="Title"/>
        <w:jc w:val="center"/>
        <w:rPr>
          <w:b/>
          <w:sz w:val="24"/>
          <w:szCs w:val="24"/>
        </w:rPr>
      </w:pPr>
      <w:r>
        <w:rPr>
          <w:b/>
          <w:sz w:val="24"/>
          <w:szCs w:val="24"/>
        </w:rPr>
        <w:t>Department:</w:t>
      </w:r>
    </w:p>
    <w:p w14:paraId="19C980EC" w14:textId="77777777" w:rsidR="00A81179" w:rsidRDefault="00000000">
      <w:pPr>
        <w:pStyle w:val="Title"/>
        <w:jc w:val="center"/>
        <w:rPr>
          <w:b/>
          <w:sz w:val="24"/>
          <w:szCs w:val="24"/>
        </w:rPr>
      </w:pPr>
      <w:r>
        <w:rPr>
          <w:b/>
          <w:sz w:val="24"/>
          <w:szCs w:val="24"/>
        </w:rPr>
        <w:t>Payload</w:t>
      </w:r>
    </w:p>
    <w:p w14:paraId="6263A3B7" w14:textId="77777777" w:rsidR="00A81179" w:rsidRDefault="00000000">
      <w:pPr>
        <w:pStyle w:val="Title"/>
        <w:jc w:val="center"/>
        <w:rPr>
          <w:b/>
          <w:sz w:val="24"/>
          <w:szCs w:val="24"/>
        </w:rPr>
      </w:pPr>
      <w:r>
        <w:rPr>
          <w:b/>
          <w:sz w:val="24"/>
          <w:szCs w:val="24"/>
        </w:rPr>
        <w:t>Report Date:</w:t>
      </w:r>
    </w:p>
    <w:p w14:paraId="238C9659" w14:textId="4BF9583C" w:rsidR="00A81179" w:rsidRDefault="00006381">
      <w:pPr>
        <w:pStyle w:val="Title"/>
        <w:jc w:val="center"/>
        <w:rPr>
          <w:b/>
          <w:sz w:val="24"/>
          <w:szCs w:val="24"/>
        </w:rPr>
      </w:pPr>
      <w:r>
        <w:rPr>
          <w:b/>
          <w:sz w:val="24"/>
          <w:szCs w:val="24"/>
        </w:rPr>
        <w:t>06/05/2025</w:t>
      </w:r>
    </w:p>
    <w:p w14:paraId="63709944" w14:textId="77777777" w:rsidR="00A81179" w:rsidRDefault="00000000">
      <w:pPr>
        <w:pStyle w:val="Title"/>
        <w:jc w:val="center"/>
        <w:rPr>
          <w:b/>
          <w:sz w:val="24"/>
          <w:szCs w:val="24"/>
        </w:rPr>
      </w:pPr>
      <w:r>
        <w:rPr>
          <w:b/>
          <w:sz w:val="24"/>
          <w:szCs w:val="24"/>
        </w:rPr>
        <w:t>Report Author:</w:t>
      </w:r>
    </w:p>
    <w:p w14:paraId="71B4A3BC" w14:textId="77777777" w:rsidR="00A81179" w:rsidRDefault="00000000">
      <w:pPr>
        <w:pStyle w:val="Title"/>
        <w:jc w:val="center"/>
        <w:rPr>
          <w:b/>
          <w:sz w:val="24"/>
          <w:szCs w:val="24"/>
        </w:rPr>
      </w:pPr>
      <w:r>
        <w:rPr>
          <w:b/>
          <w:sz w:val="24"/>
          <w:szCs w:val="24"/>
        </w:rPr>
        <w:t>Seyed Ali Rashidi - Payload</w:t>
      </w:r>
    </w:p>
    <w:p w14:paraId="39FA61ED" w14:textId="77777777" w:rsidR="00A81179" w:rsidRDefault="00000000">
      <w:pPr>
        <w:pStyle w:val="Title"/>
        <w:jc w:val="center"/>
        <w:rPr>
          <w:b/>
          <w:sz w:val="24"/>
          <w:szCs w:val="24"/>
        </w:rPr>
      </w:pPr>
      <w:r>
        <w:rPr>
          <w:b/>
          <w:sz w:val="24"/>
          <w:szCs w:val="24"/>
        </w:rPr>
        <w:t>Review/Approval:</w:t>
      </w:r>
    </w:p>
    <w:p w14:paraId="558B9A09" w14:textId="77777777" w:rsidR="00A81179" w:rsidRDefault="00000000">
      <w:pPr>
        <w:pStyle w:val="Title"/>
        <w:jc w:val="center"/>
        <w:rPr>
          <w:b/>
          <w:sz w:val="24"/>
          <w:szCs w:val="24"/>
        </w:rPr>
      </w:pPr>
      <w:r>
        <w:rPr>
          <w:b/>
          <w:sz w:val="24"/>
          <w:szCs w:val="24"/>
        </w:rPr>
        <w:t>Pierluca De Felice - Head - Payload</w:t>
      </w:r>
    </w:p>
    <w:p w14:paraId="67A13C69" w14:textId="77777777" w:rsidR="00A81179" w:rsidRDefault="00000000">
      <w:pPr>
        <w:pStyle w:val="Title"/>
        <w:jc w:val="center"/>
        <w:rPr>
          <w:b/>
          <w:sz w:val="24"/>
          <w:szCs w:val="24"/>
        </w:rPr>
      </w:pPr>
      <w:bookmarkStart w:id="1" w:name="_heading=h.v38xhd1vab0c" w:colFirst="0" w:colLast="0"/>
      <w:bookmarkEnd w:id="1"/>
      <w:r>
        <w:rPr>
          <w:b/>
          <w:sz w:val="24"/>
          <w:szCs w:val="24"/>
        </w:rPr>
        <w:t>Review/Approval Date:</w:t>
      </w:r>
    </w:p>
    <w:p w14:paraId="2F976CA0" w14:textId="408EF264" w:rsidR="00A81179" w:rsidRDefault="00B55F4E">
      <w:pPr>
        <w:pStyle w:val="Title"/>
        <w:jc w:val="center"/>
        <w:rPr>
          <w:b/>
          <w:sz w:val="24"/>
          <w:szCs w:val="24"/>
        </w:rPr>
      </w:pPr>
      <w:r>
        <w:rPr>
          <w:b/>
          <w:sz w:val="24"/>
          <w:szCs w:val="24"/>
        </w:rPr>
        <w:t>05/05/2025</w:t>
      </w:r>
    </w:p>
    <w:p w14:paraId="5F2EFFDA" w14:textId="77777777" w:rsidR="00A81179" w:rsidRDefault="00A81179">
      <w:pPr>
        <w:pStyle w:val="Title"/>
        <w:jc w:val="center"/>
      </w:pPr>
    </w:p>
    <w:p w14:paraId="291A4436" w14:textId="77777777" w:rsidR="00A81179" w:rsidRDefault="00A81179">
      <w:pPr>
        <w:pStyle w:val="Title"/>
        <w:jc w:val="center"/>
        <w:rPr>
          <w:b/>
          <w:color w:val="4F81BD"/>
          <w:highlight w:val="white"/>
        </w:rPr>
      </w:pPr>
    </w:p>
    <w:p w14:paraId="6FB78250" w14:textId="77777777" w:rsidR="00A81179" w:rsidRDefault="00A81179">
      <w:pPr>
        <w:pStyle w:val="Title"/>
        <w:jc w:val="center"/>
        <w:rPr>
          <w:b/>
          <w:color w:val="4F81BD"/>
          <w:highlight w:val="white"/>
        </w:rPr>
      </w:pPr>
    </w:p>
    <w:p w14:paraId="6E0F27D4" w14:textId="77777777" w:rsidR="00A81179" w:rsidRDefault="00A81179">
      <w:pPr>
        <w:pStyle w:val="Title"/>
        <w:jc w:val="center"/>
        <w:rPr>
          <w:b/>
          <w:color w:val="4F81BD"/>
          <w:highlight w:val="white"/>
        </w:rPr>
      </w:pPr>
    </w:p>
    <w:p w14:paraId="5677D817" w14:textId="77777777" w:rsidR="00A81179" w:rsidRDefault="00000000">
      <w:pPr>
        <w:pStyle w:val="Title"/>
        <w:jc w:val="center"/>
      </w:pPr>
      <w:r>
        <w:rPr>
          <w:b/>
          <w:color w:val="4F81BD"/>
          <w:highlight w:val="white"/>
        </w:rPr>
        <w:lastRenderedPageBreak/>
        <w:t>Numerical Evaluation of the SNR</w:t>
      </w:r>
      <w:r>
        <w:rPr>
          <w:b/>
          <w:color w:val="4F81BD"/>
          <w:highlight w:val="white"/>
        </w:rPr>
        <w:br/>
      </w:r>
      <w:r>
        <w:rPr>
          <w:b/>
          <w:color w:val="4F81BD"/>
          <w:sz w:val="22"/>
          <w:szCs w:val="22"/>
          <w:highlight w:val="white"/>
        </w:rPr>
        <w:t>Improve the code in order to consider our specific target, the fumarole, and the background</w:t>
      </w:r>
    </w:p>
    <w:p w14:paraId="4EA9CFBC" w14:textId="77777777" w:rsidR="00A81179" w:rsidRDefault="00000000">
      <w:pPr>
        <w:pStyle w:val="Heading1"/>
      </w:pPr>
      <w:r>
        <w:t>Abstract</w:t>
      </w:r>
    </w:p>
    <w:p w14:paraId="63932FEB" w14:textId="77777777" w:rsidR="00A81179" w:rsidRDefault="00000000">
      <w:pPr>
        <w:jc w:val="both"/>
      </w:pPr>
      <w:r>
        <w:t>This report extends the previous SNR analysis by adapting the model to account for a subpixel target — a fumarole — within a mixed pixel captured by the FLIR BOSON 640 thermal camera. Since the target area is significantly smaller than the Ground Sample Distance (GSD), a weighted SNR formulation was implemented to more accurately represent the detectability of the target against the surrounding background. To address signal dominance by the background, normalization techniques were applied to the radiometric signals of both target and background. A synthetic dataset was generated across a range of mission-relevant parameters to statistically evaluate the behavior of the normalized weighted SNR. This refinement enhances the reliability of the detection model for small, low-contrast thermal features in the IGNIS mission scenario.</w:t>
      </w:r>
    </w:p>
    <w:p w14:paraId="20A2354C" w14:textId="1C245B9C" w:rsidR="00A81179" w:rsidRDefault="00000000" w:rsidP="00AA6669">
      <w:pPr>
        <w:pStyle w:val="Style1"/>
      </w:pPr>
      <w:bookmarkStart w:id="2" w:name="_heading=h.28xr83cr1wmf" w:colFirst="0" w:colLast="0"/>
      <w:bookmarkEnd w:id="2"/>
      <w:r>
        <w:t xml:space="preserve">Use of Weighted SNR for Subpixel Target Detection </w:t>
      </w:r>
    </w:p>
    <w:p w14:paraId="09E35FCE" w14:textId="77777777" w:rsidR="00A81179" w:rsidRDefault="00000000">
      <w:pPr>
        <w:spacing w:before="240" w:after="240"/>
        <w:jc w:val="both"/>
      </w:pPr>
      <w:bookmarkStart w:id="3" w:name="_heading=h.iz32lknpmn89" w:colFirst="0" w:colLast="0"/>
      <w:bookmarkEnd w:id="3"/>
      <w:r>
        <w:t xml:space="preserve">Since the fumarole (our target) is </w:t>
      </w:r>
      <w:r>
        <w:rPr>
          <w:b/>
        </w:rPr>
        <w:t>smaller than the Ground Sample Distance (GSD)</w:t>
      </w:r>
      <w:r>
        <w:t>, the detector captures a mixed signal from both the fumarole and the surrounding background. A standard SNR would overestimate the target’s visibility by not distinguishing between these sources.</w:t>
      </w:r>
    </w:p>
    <w:p w14:paraId="72DF2857" w14:textId="77777777" w:rsidR="00A81179" w:rsidRDefault="00000000">
      <w:pPr>
        <w:spacing w:before="240" w:after="240"/>
        <w:jc w:val="both"/>
      </w:pPr>
      <w:r>
        <w:rPr>
          <w:b/>
        </w:rPr>
        <w:t>Weighted SNR</w:t>
      </w:r>
      <w:r>
        <w:t xml:space="preserve"> accounts for the mixed pixel content and provides a more realistic measure of the target’s detectability.</w:t>
      </w:r>
    </w:p>
    <w:p w14:paraId="6DC737D0" w14:textId="77777777" w:rsidR="00AA6669" w:rsidRDefault="00AA6669">
      <w:pPr>
        <w:spacing w:before="240" w:after="240"/>
        <w:jc w:val="both"/>
      </w:pPr>
    </w:p>
    <w:p w14:paraId="1206FB8C" w14:textId="62F4E000" w:rsidR="00AA6669" w:rsidRDefault="00AA6669" w:rsidP="006A7DD9">
      <w:pPr>
        <w:pStyle w:val="Heading1"/>
      </w:pPr>
      <w:r>
        <w:t xml:space="preserve">2. </w:t>
      </w:r>
      <w:r w:rsidR="006A7DD9" w:rsidRPr="006A7DD9">
        <w:t>Methodology and Radiometric Signal Calculation</w:t>
      </w:r>
    </w:p>
    <w:p w14:paraId="2E3ABE29" w14:textId="349298B7" w:rsidR="00C275BD" w:rsidRPr="00C275BD" w:rsidRDefault="00C275BD" w:rsidP="00C275BD">
      <w:pPr>
        <w:pStyle w:val="ListParagraph"/>
        <w:numPr>
          <w:ilvl w:val="0"/>
          <w:numId w:val="11"/>
        </w:numPr>
        <w:rPr>
          <w:b/>
          <w:bCs/>
        </w:rPr>
      </w:pPr>
      <w:r w:rsidRPr="00C275BD">
        <w:rPr>
          <w:b/>
          <w:bCs/>
        </w:rPr>
        <w:t>Radiance-Based Signal Computation</w:t>
      </w:r>
      <w:r>
        <w:rPr>
          <w:b/>
          <w:bCs/>
        </w:rPr>
        <w:br/>
      </w:r>
      <w:r w:rsidRPr="00C275BD">
        <w:t>The thermal signal emitted by a surface at temperature T was computed using Planck’s law across the 8–14 µm LWIR spectral range. The calculation steps are:</w:t>
      </w:r>
      <w:r>
        <w:br/>
      </w:r>
    </w:p>
    <w:p w14:paraId="4A458181" w14:textId="0A4AD00E" w:rsidR="00C275BD" w:rsidRPr="00C275BD" w:rsidRDefault="00C275BD" w:rsidP="00C275BD">
      <w:pPr>
        <w:pStyle w:val="ListParagraph"/>
        <w:numPr>
          <w:ilvl w:val="1"/>
          <w:numId w:val="11"/>
        </w:numPr>
        <w:rPr>
          <w:b/>
          <w:bCs/>
        </w:rPr>
      </w:pPr>
      <w:r w:rsidRPr="00C275BD">
        <w:rPr>
          <w:b/>
          <w:bCs/>
        </w:rPr>
        <w:t>Spectral Exitance (</w:t>
      </w:r>
      <m:oMath>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λ</m:t>
            </m:r>
          </m:sub>
        </m:sSub>
      </m:oMath>
      <w:r w:rsidRPr="00C275BD">
        <w:rPr>
          <w:b/>
          <w:bCs/>
        </w:rPr>
        <w:t>) was calculated:</w:t>
      </w:r>
      <w:r>
        <w:rPr>
          <w:b/>
          <w:bCs/>
        </w:rPr>
        <w:br/>
      </w:r>
      <w:r>
        <w:rPr>
          <w:b/>
          <w:bCs/>
        </w:rPr>
        <w:br/>
      </w:r>
      <m:oMathPara>
        <m:oMath>
          <m:sSub>
            <m:sSubPr>
              <m:ctrlPr>
                <w:rPr>
                  <w:rFonts w:ascii="Cambria Math" w:hAnsi="Cambria Math"/>
                  <w:i/>
                </w:rPr>
              </m:ctrlPr>
            </m:sSubPr>
            <m:e>
              <m:r>
                <w:rPr>
                  <w:rFonts w:ascii="Cambria Math" w:hAnsi="Cambria Math"/>
                </w:rPr>
                <m:t>M</m:t>
              </m:r>
            </m:e>
            <m:sub>
              <m:r>
                <w:rPr>
                  <w:rFonts w:ascii="Cambria Math" w:hAnsi="Cambria Math"/>
                </w:rPr>
                <m:t>λ</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λT</m:t>
                              </m:r>
                            </m:den>
                          </m:f>
                        </m:sup>
                      </m:sSup>
                      <m:r>
                        <w:rPr>
                          <w:rFonts w:ascii="Cambria Math" w:hAnsi="Cambria Math"/>
                        </w:rPr>
                        <m:t>-1</m:t>
                      </m:r>
                    </m:e>
                  </m:d>
                </m:e>
                <m:sup>
                  <m:r>
                    <w:rPr>
                      <w:rFonts w:ascii="Cambria Math" w:hAnsi="Cambria Math"/>
                    </w:rPr>
                    <m:t>-1</m:t>
                  </m:r>
                </m:sup>
              </m:sSup>
            </m:num>
            <m:den>
              <m:sSup>
                <m:sSupPr>
                  <m:ctrlPr>
                    <w:rPr>
                      <w:rFonts w:ascii="Cambria Math" w:hAnsi="Cambria Math"/>
                      <w:i/>
                    </w:rPr>
                  </m:ctrlPr>
                </m:sSupPr>
                <m:e>
                  <m:r>
                    <w:rPr>
                      <w:rFonts w:ascii="Cambria Math" w:hAnsi="Cambria Math"/>
                    </w:rPr>
                    <m:t>λ</m:t>
                  </m:r>
                </m:e>
                <m:sup>
                  <m:r>
                    <w:rPr>
                      <w:rFonts w:ascii="Cambria Math" w:hAnsi="Cambria Math"/>
                    </w:rPr>
                    <m:t>5</m:t>
                  </m:r>
                </m:sup>
              </m:sSup>
            </m:den>
          </m:f>
          <m:r>
            <m:rPr>
              <m:sty m:val="p"/>
            </m:rPr>
            <w:br/>
          </m:r>
        </m:oMath>
      </m:oMathPara>
    </w:p>
    <w:p w14:paraId="063D98E9" w14:textId="731C55AA" w:rsidR="00C275BD" w:rsidRDefault="00B14BDF" w:rsidP="00B14BDF">
      <w:pPr>
        <w:pStyle w:val="ListParagraph"/>
        <w:numPr>
          <w:ilvl w:val="1"/>
          <w:numId w:val="11"/>
        </w:numPr>
        <w:rPr>
          <w:b/>
          <w:bCs/>
        </w:rPr>
      </w:pPr>
      <w:r w:rsidRPr="00B14BDF">
        <w:rPr>
          <w:b/>
          <w:bCs/>
        </w:rPr>
        <w:t>Emissive Power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λ</m:t>
            </m:r>
          </m:sub>
        </m:sSub>
      </m:oMath>
      <w:r w:rsidRPr="00B14BDF">
        <w:rPr>
          <w:b/>
          <w:bCs/>
        </w:rPr>
        <w:t>) accounted for the surface emissivity:</w:t>
      </w:r>
      <w:r>
        <w:rPr>
          <w:b/>
          <w:bCs/>
        </w:rPr>
        <w:br/>
      </w:r>
      <m:oMathPara>
        <m:oMath>
          <m:sSub>
            <m:sSubPr>
              <m:ctrlPr>
                <w:rPr>
                  <w:rFonts w:ascii="Cambria Math" w:hAnsi="Cambria Math"/>
                  <w:i/>
                </w:rPr>
              </m:ctrlPr>
            </m:sSubPr>
            <m:e>
              <m:r>
                <w:rPr>
                  <w:rFonts w:ascii="Cambria Math" w:hAnsi="Cambria Math"/>
                </w:rPr>
                <m:t>E</m:t>
              </m:r>
            </m:e>
            <m:sub>
              <m:r>
                <w:rPr>
                  <w:rFonts w:ascii="Cambria Math" w:hAnsi="Cambria Math"/>
                </w:rPr>
                <m:t>λ</m:t>
              </m:r>
            </m:sub>
          </m:sSub>
          <m:r>
            <w:rPr>
              <w:rFonts w:ascii="Cambria Math" w:hAnsi="Cambria Math"/>
            </w:rPr>
            <m:t>= ϵ.</m:t>
          </m:r>
          <m:sSub>
            <m:sSubPr>
              <m:ctrlPr>
                <w:rPr>
                  <w:rFonts w:ascii="Cambria Math" w:hAnsi="Cambria Math"/>
                  <w:i/>
                </w:rPr>
              </m:ctrlPr>
            </m:sSubPr>
            <m:e>
              <m:r>
                <w:rPr>
                  <w:rFonts w:ascii="Cambria Math" w:hAnsi="Cambria Math"/>
                </w:rPr>
                <m:t>M</m:t>
              </m:r>
            </m:e>
            <m:sub>
              <m:r>
                <w:rPr>
                  <w:rFonts w:ascii="Cambria Math" w:hAnsi="Cambria Math"/>
                </w:rPr>
                <m:t>λ</m:t>
              </m:r>
            </m:sub>
          </m:sSub>
          <m:r>
            <m:rPr>
              <m:sty m:val="p"/>
            </m:rPr>
            <w:br/>
          </m:r>
        </m:oMath>
        <m:oMath>
          <m:r>
            <m:rPr>
              <m:sty m:val="p"/>
            </m:rPr>
            <w:br/>
          </m:r>
        </m:oMath>
      </m:oMathPara>
      <w:r w:rsidRPr="00B14BDF">
        <w:t>where ϵ=0.95 for soil or fumarolic targets.</w:t>
      </w:r>
      <w:r>
        <w:br/>
      </w:r>
    </w:p>
    <w:p w14:paraId="63B1E77D" w14:textId="210F5DE2" w:rsidR="00B14BDF" w:rsidRPr="00B14BDF" w:rsidRDefault="00B14BDF" w:rsidP="00B14BDF">
      <w:pPr>
        <w:pStyle w:val="ListParagraph"/>
        <w:numPr>
          <w:ilvl w:val="1"/>
          <w:numId w:val="11"/>
        </w:numPr>
        <w:rPr>
          <w:b/>
          <w:bCs/>
        </w:rPr>
      </w:pPr>
      <w:r w:rsidRPr="00B14BDF">
        <w:rPr>
          <w:b/>
          <w:bCs/>
        </w:rPr>
        <w:t>Transmittance and Sensor Response:</w:t>
      </w:r>
      <w:r>
        <w:rPr>
          <w:b/>
          <w:bCs/>
        </w:rPr>
        <w:br/>
      </w:r>
      <m:oMathPara>
        <m:oMath>
          <m:r>
            <w:rPr>
              <w:rFonts w:ascii="Cambria Math" w:hAnsi="Cambria Math"/>
            </w:rPr>
            <m:t>Sλ​=λ⋅Eλ​⋅τa​⋅τ0​⋅η⋅Δλ</m:t>
          </m:r>
          <m:r>
            <m:rPr>
              <m:sty m:val="p"/>
            </m:rPr>
            <w:br/>
          </m:r>
        </m:oMath>
        <m:oMath>
          <m:r>
            <m:rPr>
              <m:sty m:val="p"/>
            </m:rPr>
            <w:br/>
          </m:r>
        </m:oMath>
      </m:oMathPara>
      <w:r w:rsidRPr="00B14BDF">
        <w:t>where:</w:t>
      </w:r>
    </w:p>
    <w:p w14:paraId="4A2D2C3C" w14:textId="332B3E28" w:rsidR="00B14BDF" w:rsidRDefault="00B14BDF" w:rsidP="00B14BDF">
      <w:pPr>
        <w:pStyle w:val="NormalWeb"/>
        <w:numPr>
          <w:ilvl w:val="2"/>
          <w:numId w:val="11"/>
        </w:numPr>
      </w:pPr>
      <w:r>
        <w:t xml:space="preserve"> </w:t>
      </w:r>
      <m:oMath>
        <m:sSub>
          <m:sSubPr>
            <m:ctrlPr>
              <w:rPr>
                <w:rStyle w:val="mord"/>
                <w:rFonts w:ascii="Cambria Math" w:hAnsi="Cambria Math"/>
                <w:i/>
              </w:rPr>
            </m:ctrlPr>
          </m:sSubPr>
          <m:e>
            <m:r>
              <w:rPr>
                <w:rStyle w:val="mord"/>
                <w:rFonts w:ascii="Cambria Math" w:hAnsi="Cambria Math"/>
              </w:rPr>
              <m:t>τ</m:t>
            </m:r>
          </m:e>
          <m:sub>
            <m:r>
              <w:rPr>
                <w:rStyle w:val="mord"/>
                <w:rFonts w:ascii="Cambria Math" w:hAnsi="Cambria Math"/>
              </w:rPr>
              <m:t>a</m:t>
            </m:r>
          </m:sub>
        </m:sSub>
      </m:oMath>
      <w:r>
        <w:rPr>
          <w:rStyle w:val="vlist-s"/>
        </w:rPr>
        <w:t>​</w:t>
      </w:r>
      <w:r>
        <w:t xml:space="preserve"> is atmospheric transmittance,</w:t>
      </w:r>
      <w:r>
        <w:tab/>
      </w:r>
    </w:p>
    <w:p w14:paraId="4206CA92" w14:textId="2032F71D" w:rsidR="00B14BDF" w:rsidRDefault="00000000" w:rsidP="00B14BDF">
      <w:pPr>
        <w:pStyle w:val="NormalWeb"/>
        <w:numPr>
          <w:ilvl w:val="2"/>
          <w:numId w:val="11"/>
        </w:numPr>
      </w:pPr>
      <m:oMath>
        <m:sSub>
          <m:sSubPr>
            <m:ctrlPr>
              <w:rPr>
                <w:rStyle w:val="katex-mathml"/>
                <w:rFonts w:ascii="Cambria Math" w:hAnsi="Cambria Math"/>
                <w:i/>
              </w:rPr>
            </m:ctrlPr>
          </m:sSubPr>
          <m:e>
            <m:r>
              <w:rPr>
                <w:rStyle w:val="katex-mathml"/>
                <w:rFonts w:ascii="Cambria Math" w:hAnsi="Cambria Math"/>
              </w:rPr>
              <m:t>τ</m:t>
            </m:r>
          </m:e>
          <m:sub>
            <m:r>
              <w:rPr>
                <w:rStyle w:val="katex-mathml"/>
                <w:rFonts w:ascii="Cambria Math" w:hAnsi="Cambria Math"/>
              </w:rPr>
              <m:t>0</m:t>
            </m:r>
          </m:sub>
        </m:sSub>
      </m:oMath>
      <w:r w:rsidR="00B14BDF">
        <w:rPr>
          <w:rStyle w:val="vlist-s"/>
        </w:rPr>
        <w:t>​</w:t>
      </w:r>
      <w:r w:rsidR="00B14BDF">
        <w:t xml:space="preserve"> is optical transmittance of the camera,</w:t>
      </w:r>
    </w:p>
    <w:p w14:paraId="1996158A" w14:textId="1273C037" w:rsidR="00B14BDF" w:rsidRDefault="00B14BDF" w:rsidP="00B14BDF">
      <w:pPr>
        <w:pStyle w:val="NormalWeb"/>
        <w:numPr>
          <w:ilvl w:val="2"/>
          <w:numId w:val="11"/>
        </w:numPr>
      </w:pPr>
      <w:r>
        <w:t xml:space="preserve"> </w:t>
      </w:r>
      <w:r>
        <w:rPr>
          <w:rStyle w:val="katex-mathml"/>
        </w:rPr>
        <w:t>η</w:t>
      </w:r>
      <w:r>
        <w:t xml:space="preserve"> is detector quantum efficiency,</w:t>
      </w:r>
    </w:p>
    <w:p w14:paraId="2DC50216" w14:textId="31D93371" w:rsidR="00B14BDF" w:rsidRDefault="00B14BDF" w:rsidP="00B14BDF">
      <w:pPr>
        <w:pStyle w:val="NormalWeb"/>
        <w:numPr>
          <w:ilvl w:val="2"/>
          <w:numId w:val="11"/>
        </w:numPr>
      </w:pPr>
      <w:r>
        <w:rPr>
          <w:rStyle w:val="katex-mathml"/>
        </w:rPr>
        <w:t xml:space="preserve">Δλ </w:t>
      </w:r>
      <w:r>
        <w:t>is the wavelength step.</w:t>
      </w:r>
    </w:p>
    <w:p w14:paraId="16443B22" w14:textId="77777777" w:rsidR="00B14BDF" w:rsidRDefault="00B14BDF" w:rsidP="00B14BDF">
      <w:pPr>
        <w:pStyle w:val="ListParagraph"/>
        <w:ind w:left="2160"/>
        <w:rPr>
          <w:b/>
          <w:bCs/>
        </w:rPr>
      </w:pPr>
    </w:p>
    <w:p w14:paraId="144B112A" w14:textId="066D30C3" w:rsidR="00B14BDF" w:rsidRDefault="00B14BDF" w:rsidP="00B14BDF">
      <w:pPr>
        <w:pStyle w:val="ListParagraph"/>
        <w:numPr>
          <w:ilvl w:val="1"/>
          <w:numId w:val="11"/>
        </w:numPr>
        <w:rPr>
          <w:b/>
          <w:bCs/>
        </w:rPr>
      </w:pPr>
      <w:r w:rsidRPr="00B14BDF">
        <w:rPr>
          <w:b/>
          <w:bCs/>
        </w:rPr>
        <w:t>Integrated Spectral Signal:</w:t>
      </w:r>
      <w:r>
        <w:rPr>
          <w:b/>
          <w:bCs/>
        </w:rPr>
        <w:br/>
      </w:r>
      <m:oMathPara>
        <m:oMath>
          <m:sSub>
            <m:sSubPr>
              <m:ctrlPr>
                <w:rPr>
                  <w:rFonts w:ascii="Cambria Math" w:hAnsi="Cambria Math"/>
                  <w:bCs/>
                  <w:i/>
                </w:rPr>
              </m:ctrlPr>
            </m:sSubPr>
            <m:e>
              <m:r>
                <w:rPr>
                  <w:rFonts w:ascii="Cambria Math" w:hAnsi="Cambria Math"/>
                </w:rPr>
                <m:t>S</m:t>
              </m:r>
            </m:e>
            <m:sub>
              <m:r>
                <w:rPr>
                  <w:rFonts w:ascii="Cambria Math" w:hAnsi="Cambria Math"/>
                </w:rPr>
                <m:t>sum</m:t>
              </m:r>
            </m:sub>
          </m:sSub>
          <m:r>
            <w:rPr>
              <w:rFonts w:ascii="Cambria Math" w:hAnsi="Cambria Math"/>
            </w:rPr>
            <m:t>​=∑Sλ</m:t>
          </m:r>
          <m:r>
            <m:rPr>
              <m:sty m:val="bi"/>
            </m:rPr>
            <w:rPr>
              <w:rFonts w:ascii="Cambria Math" w:hAnsi="Cambria Math"/>
            </w:rPr>
            <m:t>​</m:t>
          </m:r>
          <m:r>
            <m:rPr>
              <m:sty m:val="b"/>
            </m:rPr>
            <w:br/>
          </m:r>
        </m:oMath>
        <m:oMath>
          <m:r>
            <m:rPr>
              <m:sty m:val="p"/>
            </m:rPr>
            <w:br/>
          </m:r>
        </m:oMath>
      </m:oMathPara>
      <w:r w:rsidRPr="00B14BDF">
        <w:t>This gives the total radiative signal per unit area.</w:t>
      </w:r>
      <w:r>
        <w:br/>
      </w:r>
    </w:p>
    <w:p w14:paraId="05D7B68C" w14:textId="55608AA1" w:rsidR="00B14BDF" w:rsidRPr="006A7DD9" w:rsidRDefault="006A7DD9" w:rsidP="006A7DD9">
      <w:pPr>
        <w:pStyle w:val="ListParagraph"/>
        <w:numPr>
          <w:ilvl w:val="0"/>
          <w:numId w:val="11"/>
        </w:numPr>
        <w:rPr>
          <w:b/>
          <w:bCs/>
        </w:rPr>
      </w:pPr>
      <w:r w:rsidRPr="006A7DD9">
        <w:rPr>
          <w:b/>
          <w:bCs/>
        </w:rPr>
        <w:t>Projection to Detector</w:t>
      </w:r>
      <w:r>
        <w:rPr>
          <w:b/>
          <w:bCs/>
        </w:rPr>
        <w:br/>
      </w:r>
      <w:r w:rsidRPr="006A7DD9">
        <w:t>To obtain the total signal at the detector for a given area A, viewing angle θ, and distance R:</w:t>
      </w:r>
      <w:r>
        <w:br/>
      </w:r>
      <m:oMathPara>
        <m:oMath>
          <m:r>
            <w:rPr>
              <w:rFonts w:ascii="Cambria Math" w:hAnsi="Cambria Math"/>
            </w:rPr>
            <m:t>S=</m:t>
          </m:r>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⋅t⋅co</m:t>
              </m:r>
              <m:sSub>
                <m:sSubPr>
                  <m:ctrlPr>
                    <w:rPr>
                      <w:rFonts w:ascii="Cambria Math" w:hAnsi="Cambria Math"/>
                      <w:bCs/>
                      <w:i/>
                    </w:rPr>
                  </m:ctrlPr>
                </m:sSubPr>
                <m:e>
                  <m:r>
                    <w:rPr>
                      <w:rFonts w:ascii="Cambria Math" w:hAnsi="Cambria Math"/>
                    </w:rPr>
                    <m:t>s</m:t>
                  </m:r>
                </m:e>
                <m:sub>
                  <m:r>
                    <w:rPr>
                      <w:rFonts w:ascii="Cambria Math" w:hAnsi="Cambria Math"/>
                    </w:rPr>
                    <m:t>θ</m:t>
                  </m:r>
                </m:sub>
              </m:sSub>
              <m:r>
                <w:rPr>
                  <w:rFonts w:ascii="Cambria Math" w:hAnsi="Cambria Math"/>
                </w:rPr>
                <m:t>⋅A</m:t>
              </m:r>
            </m:num>
            <m:den>
              <m:r>
                <w:rPr>
                  <w:rFonts w:ascii="Cambria Math" w:hAnsi="Cambria Math"/>
                </w:rPr>
                <m:t>4⋅</m:t>
              </m:r>
              <m:sSup>
                <m:sSupPr>
                  <m:ctrlPr>
                    <w:rPr>
                      <w:rFonts w:ascii="Cambria Math" w:hAnsi="Cambria Math"/>
                      <w:bCs/>
                      <w:i/>
                    </w:rPr>
                  </m:ctrlPr>
                </m:sSupPr>
                <m:e>
                  <m:r>
                    <w:rPr>
                      <w:rFonts w:ascii="Cambria Math" w:hAnsi="Cambria Math"/>
                    </w:rPr>
                    <m:t>R</m:t>
                  </m:r>
                </m:e>
                <m:sup>
                  <m:r>
                    <w:rPr>
                      <w:rFonts w:ascii="Cambria Math" w:hAnsi="Cambria Math"/>
                    </w:rPr>
                    <m:t>2</m:t>
                  </m:r>
                </m:sup>
              </m:sSup>
              <m:r>
                <w:rPr>
                  <w:rFonts w:ascii="Cambria Math" w:hAnsi="Cambria Math"/>
                </w:rPr>
                <m:t>⋅h⋅c</m:t>
              </m:r>
            </m:den>
          </m:f>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sum</m:t>
              </m:r>
            </m:sub>
          </m:sSub>
          <m:r>
            <m:rPr>
              <m:sty m:val="p"/>
            </m:rPr>
            <w:br/>
          </m:r>
        </m:oMath>
        <m:oMath>
          <m:r>
            <m:rPr>
              <m:sty m:val="p"/>
            </m:rPr>
            <w:br/>
          </m:r>
        </m:oMath>
      </m:oMathPara>
      <w:r w:rsidRPr="006A7DD9">
        <w:t>Where:</w:t>
      </w:r>
    </w:p>
    <w:p w14:paraId="3A084738" w14:textId="16445DC6" w:rsidR="006A7DD9" w:rsidRDefault="006A7DD9" w:rsidP="006A7DD9">
      <w:pPr>
        <w:pStyle w:val="NormalWeb"/>
        <w:numPr>
          <w:ilvl w:val="1"/>
          <w:numId w:val="11"/>
        </w:numPr>
      </w:pPr>
      <w:r>
        <w:rPr>
          <w:rStyle w:val="mord"/>
        </w:rPr>
        <w:t>D</w:t>
      </w:r>
      <w:r>
        <w:t xml:space="preserve"> is lens diameter (derived from focal length and f-number),</w:t>
      </w:r>
    </w:p>
    <w:p w14:paraId="6AA113D2" w14:textId="581A0BEA" w:rsidR="006A7DD9" w:rsidRDefault="006A7DD9" w:rsidP="006A7DD9">
      <w:pPr>
        <w:pStyle w:val="NormalWeb"/>
        <w:numPr>
          <w:ilvl w:val="1"/>
          <w:numId w:val="11"/>
        </w:numPr>
      </w:pPr>
      <w:r>
        <w:rPr>
          <w:rStyle w:val="katex-mathml"/>
          <w:rFonts w:eastAsia="Calibri"/>
        </w:rPr>
        <w:t>t</w:t>
      </w:r>
      <w:r>
        <w:t xml:space="preserve"> is integration time,</w:t>
      </w:r>
    </w:p>
    <w:p w14:paraId="40824F62" w14:textId="4FC30389" w:rsidR="006A7DD9" w:rsidRDefault="006A7DD9" w:rsidP="006A7DD9">
      <w:pPr>
        <w:pStyle w:val="NormalWeb"/>
        <w:numPr>
          <w:ilvl w:val="1"/>
          <w:numId w:val="11"/>
        </w:numPr>
      </w:pPr>
      <w:r>
        <w:rPr>
          <w:rStyle w:val="katex-mathml"/>
          <w:rFonts w:eastAsia="Calibri"/>
        </w:rPr>
        <w:t>A</w:t>
      </w:r>
      <w:r>
        <w:t xml:space="preserve"> is the emitting surface (target or background),</w:t>
      </w:r>
    </w:p>
    <w:p w14:paraId="18CC7547" w14:textId="77777777" w:rsidR="006A7DD9" w:rsidRDefault="006A7DD9" w:rsidP="006A7DD9">
      <w:pPr>
        <w:pStyle w:val="NormalWeb"/>
        <w:numPr>
          <w:ilvl w:val="1"/>
          <w:numId w:val="11"/>
        </w:numPr>
      </w:pPr>
      <w:r>
        <w:rPr>
          <w:rStyle w:val="katex-mathml"/>
          <w:rFonts w:eastAsia="Calibri"/>
        </w:rPr>
        <w:t>h, c</w:t>
      </w:r>
      <w:r>
        <w:t xml:space="preserve"> are physical constants.</w:t>
      </w:r>
    </w:p>
    <w:p w14:paraId="1A13AF94" w14:textId="77777777" w:rsidR="006A7DD9" w:rsidRDefault="006A7DD9" w:rsidP="006A7DD9">
      <w:pPr>
        <w:pStyle w:val="NormalWeb"/>
        <w:ind w:left="720"/>
      </w:pPr>
      <w:r w:rsidRPr="006A7DD9">
        <w:t>This formulation was applied for both:</w:t>
      </w:r>
    </w:p>
    <w:p w14:paraId="60B00951" w14:textId="0824CBCF" w:rsidR="006A7DD9" w:rsidRPr="00A120F3" w:rsidRDefault="006A7DD9" w:rsidP="006A7DD9">
      <w:pPr>
        <w:pStyle w:val="NormalWeb"/>
        <w:numPr>
          <w:ilvl w:val="1"/>
          <w:numId w:val="11"/>
        </w:numPr>
        <w:rPr>
          <w:sz w:val="22"/>
          <w:szCs w:val="22"/>
        </w:rPr>
      </w:pPr>
      <w:r w:rsidRPr="00A120F3">
        <w:rPr>
          <w:rStyle w:val="Strong"/>
          <w:sz w:val="22"/>
          <w:szCs w:val="22"/>
        </w:rPr>
        <w:lastRenderedPageBreak/>
        <w:t>Background-only pixel</w:t>
      </w:r>
    </w:p>
    <w:p w14:paraId="5C623FB7" w14:textId="0C832B5A" w:rsidR="006A7DD9" w:rsidRDefault="006A7DD9" w:rsidP="006A7DD9">
      <w:pPr>
        <w:pStyle w:val="NormalWeb"/>
        <w:numPr>
          <w:ilvl w:val="1"/>
          <w:numId w:val="11"/>
        </w:numPr>
      </w:pPr>
      <w:r w:rsidRPr="00A120F3">
        <w:rPr>
          <w:rStyle w:val="Strong"/>
          <w:sz w:val="22"/>
          <w:szCs w:val="22"/>
        </w:rPr>
        <w:t>Fumarole (target)</w:t>
      </w:r>
      <w:r w:rsidRPr="00A120F3">
        <w:rPr>
          <w:sz w:val="22"/>
          <w:szCs w:val="22"/>
        </w:rPr>
        <w:t xml:space="preserve"> using a fixed area of  </w:t>
      </w:r>
      <m:oMath>
        <m:r>
          <m:rPr>
            <m:sty m:val="p"/>
          </m:rPr>
          <w:rPr>
            <w:rStyle w:val="katex-mathml"/>
            <w:rFonts w:ascii="Cambria Math" w:hAnsi="Cambria Math"/>
            <w:sz w:val="22"/>
            <w:szCs w:val="22"/>
          </w:rPr>
          <m:t>A=100 </m:t>
        </m:r>
        <m:sSup>
          <m:sSupPr>
            <m:ctrlPr>
              <w:rPr>
                <w:rStyle w:val="katex-mathml"/>
                <w:rFonts w:ascii="Cambria Math" w:hAnsi="Cambria Math"/>
                <w:sz w:val="22"/>
                <w:szCs w:val="22"/>
              </w:rPr>
            </m:ctrlPr>
          </m:sSupPr>
          <m:e>
            <m:r>
              <m:rPr>
                <m:sty m:val="p"/>
              </m:rPr>
              <w:rPr>
                <w:rStyle w:val="katex-mathml"/>
                <w:rFonts w:ascii="Cambria Math" w:hAnsi="Cambria Math"/>
                <w:sz w:val="22"/>
                <w:szCs w:val="22"/>
              </w:rPr>
              <m:t>m</m:t>
            </m:r>
          </m:e>
          <m:sup>
            <m:r>
              <m:rPr>
                <m:sty m:val="p"/>
              </m:rPr>
              <w:rPr>
                <w:rStyle w:val="katex-mathml"/>
                <w:rFonts w:ascii="Cambria Math" w:hAnsi="Cambria Math"/>
                <w:sz w:val="22"/>
                <w:szCs w:val="22"/>
              </w:rPr>
              <m:t>2</m:t>
            </m:r>
          </m:sup>
        </m:sSup>
      </m:oMath>
      <w:r>
        <w:rPr>
          <w:rStyle w:val="katex-mathml"/>
        </w:rPr>
        <w:br/>
      </w:r>
    </w:p>
    <w:p w14:paraId="761601F2" w14:textId="5616BD49" w:rsidR="006A7DD9" w:rsidRDefault="006A7DD9" w:rsidP="006A7DD9">
      <w:pPr>
        <w:pStyle w:val="Heading1"/>
      </w:pPr>
      <w:r>
        <w:t xml:space="preserve">3. </w:t>
      </w:r>
      <w:r w:rsidRPr="006A7DD9">
        <w:t>SNR Formulation and Weighted Calculation</w:t>
      </w:r>
    </w:p>
    <w:p w14:paraId="1AE0FB4A" w14:textId="5E979950" w:rsidR="00A81179" w:rsidRPr="006A7DD9" w:rsidRDefault="006A7DD9" w:rsidP="006A7DD9">
      <w:pPr>
        <w:pStyle w:val="ListParagraph"/>
        <w:numPr>
          <w:ilvl w:val="0"/>
          <w:numId w:val="12"/>
        </w:numPr>
        <w:rPr>
          <w:b/>
          <w:bCs/>
        </w:rPr>
      </w:pPr>
      <w:r w:rsidRPr="006A7DD9">
        <w:rPr>
          <w:b/>
          <w:bCs/>
        </w:rPr>
        <w:t>Noise Equivalent Temperature Difference (NEDT)</w:t>
      </w:r>
      <w:r>
        <w:rPr>
          <w:b/>
          <w:bCs/>
        </w:rPr>
        <w:br/>
      </w:r>
      <w:r w:rsidRPr="006A7DD9">
        <w:t>To evaluate noise, the NEDT value (44.1 mK) was used. The corresponding radiative signal difference was computed as:</w:t>
      </w:r>
    </w:p>
    <w:p w14:paraId="6E702185" w14:textId="4EC097B4" w:rsidR="006A7DD9" w:rsidRPr="00A120F3" w:rsidRDefault="006A7DD9" w:rsidP="006A7DD9">
      <w:pPr>
        <w:pStyle w:val="NormalWeb"/>
        <w:numPr>
          <w:ilvl w:val="1"/>
          <w:numId w:val="12"/>
        </w:numPr>
        <w:rPr>
          <w:sz w:val="22"/>
          <w:szCs w:val="22"/>
        </w:rPr>
      </w:pPr>
      <w:r w:rsidRPr="00A120F3">
        <w:rPr>
          <w:rStyle w:val="Strong"/>
          <w:sz w:val="22"/>
          <w:szCs w:val="22"/>
        </w:rPr>
        <w:t xml:space="preserve">Simulate signal from a surface at </w:t>
      </w:r>
      <m:oMath>
        <m:r>
          <m:rPr>
            <m:sty m:val="b"/>
          </m:rPr>
          <w:rPr>
            <w:rStyle w:val="katex-mathml"/>
            <w:rFonts w:ascii="Cambria Math" w:hAnsi="Cambria Math"/>
            <w:sz w:val="22"/>
            <w:szCs w:val="22"/>
          </w:rPr>
          <m:t>T+NEDT</m:t>
        </m:r>
      </m:oMath>
    </w:p>
    <w:p w14:paraId="5EC2DD95" w14:textId="6178CCB2" w:rsidR="006A7DD9" w:rsidRPr="00A120F3" w:rsidRDefault="006A7DD9" w:rsidP="006A7DD9">
      <w:pPr>
        <w:pStyle w:val="NormalWeb"/>
        <w:numPr>
          <w:ilvl w:val="1"/>
          <w:numId w:val="12"/>
        </w:numPr>
        <w:rPr>
          <w:sz w:val="22"/>
          <w:szCs w:val="22"/>
        </w:rPr>
      </w:pPr>
      <w:r w:rsidRPr="00A120F3">
        <w:rPr>
          <w:rStyle w:val="Strong"/>
          <w:sz w:val="22"/>
          <w:szCs w:val="22"/>
        </w:rPr>
        <w:t>Subtract</w:t>
      </w:r>
      <w:r w:rsidRPr="00A120F3">
        <w:rPr>
          <w:sz w:val="22"/>
          <w:szCs w:val="22"/>
        </w:rPr>
        <w:t xml:space="preserve"> the background signal </w:t>
      </w:r>
      <w:r w:rsidRPr="00A120F3">
        <w:rPr>
          <w:rStyle w:val="katex-mathml"/>
          <w:sz w:val="22"/>
          <w:szCs w:val="22"/>
        </w:rPr>
        <w:t>S(T)</w:t>
      </w:r>
    </w:p>
    <w:p w14:paraId="74BB771D" w14:textId="4EEDAA82" w:rsidR="006A7DD9" w:rsidRDefault="006A7DD9" w:rsidP="006A7DD9">
      <w:pPr>
        <w:pStyle w:val="NormalWeb"/>
        <w:numPr>
          <w:ilvl w:val="1"/>
          <w:numId w:val="12"/>
        </w:numPr>
        <w:rPr>
          <w:sz w:val="22"/>
          <w:szCs w:val="22"/>
        </w:rPr>
      </w:pPr>
      <w:r w:rsidRPr="00A120F3">
        <w:rPr>
          <w:rStyle w:val="Strong"/>
          <w:sz w:val="22"/>
          <w:szCs w:val="22"/>
        </w:rPr>
        <w:t>Project</w:t>
      </w:r>
      <w:r w:rsidRPr="00A120F3">
        <w:rPr>
          <w:sz w:val="22"/>
          <w:szCs w:val="22"/>
        </w:rPr>
        <w:t xml:space="preserve"> this difference to the detector using the same radiometric projection formula.</w:t>
      </w:r>
    </w:p>
    <w:p w14:paraId="59509D54" w14:textId="75C24F8A" w:rsidR="00654536" w:rsidRPr="00A120F3" w:rsidRDefault="00654536" w:rsidP="00654536">
      <w:pPr>
        <w:pStyle w:val="NormalWeb"/>
        <w:ind w:left="720"/>
        <w:rPr>
          <w:sz w:val="22"/>
          <w:szCs w:val="22"/>
        </w:rPr>
      </w:pPr>
      <w:r w:rsidRPr="00654536">
        <w:rPr>
          <w:sz w:val="22"/>
          <w:szCs w:val="22"/>
        </w:rPr>
        <w:t xml:space="preserve">This yielded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NEDT</m:t>
            </m:r>
          </m:sub>
        </m:sSub>
      </m:oMath>
      <w:r w:rsidRPr="00654536">
        <w:rPr>
          <w:sz w:val="22"/>
          <w:szCs w:val="22"/>
        </w:rPr>
        <w:t>​, the minimum detectable signal.</w:t>
      </w:r>
    </w:p>
    <w:p w14:paraId="6B22EFC1" w14:textId="44E68E3A" w:rsidR="006A7DD9" w:rsidRPr="00654536" w:rsidRDefault="00654536" w:rsidP="00654536">
      <w:pPr>
        <w:pStyle w:val="ListParagraph"/>
        <w:numPr>
          <w:ilvl w:val="0"/>
          <w:numId w:val="12"/>
        </w:numPr>
        <w:rPr>
          <w:b/>
          <w:bCs/>
        </w:rPr>
      </w:pPr>
      <w:r w:rsidRPr="00654536">
        <w:rPr>
          <w:b/>
          <w:bCs/>
        </w:rPr>
        <w:t>Mixed Pixel Model</w:t>
      </w:r>
      <w:r>
        <w:rPr>
          <w:b/>
          <w:bCs/>
        </w:rPr>
        <w:br/>
      </w:r>
      <w:r w:rsidRPr="00654536">
        <w:t>Since the fumarole is subpixel, we simulate a pixel combining both:</w:t>
      </w:r>
      <w:r>
        <w:br/>
      </w:r>
      <m:oMathPara>
        <m:oMath>
          <m:sSub>
            <m:sSubPr>
              <m:ctrlPr>
                <w:rPr>
                  <w:rFonts w:ascii="Cambria Math" w:hAnsi="Cambria Math"/>
                  <w:i/>
                </w:rPr>
              </m:ctrlPr>
            </m:sSubPr>
            <m:e>
              <m:r>
                <w:rPr>
                  <w:rFonts w:ascii="Cambria Math" w:hAnsi="Cambria Math"/>
                </w:rPr>
                <m:t>S</m:t>
              </m:r>
            </m:e>
            <m:sub>
              <m:r>
                <w:rPr>
                  <w:rFonts w:ascii="Cambria Math" w:hAnsi="Cambria Math"/>
                </w:rPr>
                <m:t>mix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A</m:t>
                  </m:r>
                </m:e>
                <m:sub>
                  <m:r>
                    <w:rPr>
                      <w:rFonts w:ascii="Cambria Math" w:hAnsi="Cambria Math"/>
                    </w:rPr>
                    <m:t>b</m:t>
                  </m:r>
                </m:sub>
              </m:sSub>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m:rPr>
              <m:sty m:val="bi"/>
            </m:rPr>
            <w:rPr>
              <w:rFonts w:ascii="Cambria Math" w:hAnsi="Cambria Math"/>
            </w:rPr>
            <m:t>​</m:t>
          </m:r>
          <m:r>
            <m:rPr>
              <m:sty m:val="p"/>
            </m:rPr>
            <w:br/>
          </m:r>
        </m:oMath>
      </m:oMathPara>
      <w:r w:rsidRPr="00654536">
        <w:t>Where:</w:t>
      </w:r>
      <w:r>
        <w:br/>
      </w:r>
    </w:p>
    <w:p w14:paraId="48DB427F" w14:textId="33761260" w:rsidR="00654536" w:rsidRDefault="00000000" w:rsidP="00654536">
      <w:pPr>
        <w:pStyle w:val="NormalWeb"/>
        <w:numPr>
          <w:ilvl w:val="1"/>
          <w:numId w:val="12"/>
        </w:numPr>
      </w:pP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b</m:t>
            </m:r>
          </m:sub>
        </m:sSub>
      </m:oMath>
      <w:r w:rsidR="00654536">
        <w:rPr>
          <w:rStyle w:val="vlist-s"/>
        </w:rPr>
        <w:t>​</w:t>
      </w:r>
      <w:r w:rsidR="00654536">
        <w:t xml:space="preserve"> is the background-only pixel signal,</w:t>
      </w:r>
    </w:p>
    <w:p w14:paraId="1E92ED23" w14:textId="2D0BCC92" w:rsidR="00654536" w:rsidRDefault="00000000" w:rsidP="00654536">
      <w:pPr>
        <w:pStyle w:val="NormalWeb"/>
        <w:numPr>
          <w:ilvl w:val="1"/>
          <w:numId w:val="12"/>
        </w:numPr>
      </w:pP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t</m:t>
            </m:r>
          </m:sub>
        </m:sSub>
      </m:oMath>
      <w:r w:rsidR="00654536">
        <w:rPr>
          <w:rStyle w:val="vlist-s"/>
        </w:rPr>
        <w:t>​</w:t>
      </w:r>
      <w:r w:rsidR="00654536">
        <w:t xml:space="preserve"> is the fumarole signal (area = 100 m²),</w:t>
      </w:r>
    </w:p>
    <w:p w14:paraId="05A019E1" w14:textId="5125514D" w:rsidR="00654536" w:rsidRDefault="00000000" w:rsidP="00654536">
      <w:pPr>
        <w:pStyle w:val="NormalWeb"/>
        <w:numPr>
          <w:ilvl w:val="1"/>
          <w:numId w:val="12"/>
        </w:numPr>
      </w:pP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b</m:t>
            </m:r>
          </m:sub>
        </m:sSub>
      </m:oMath>
      <w:r w:rsidR="00654536">
        <w:t xml:space="preserve"> is pixel footprint (calculated from GSD),</w:t>
      </w:r>
    </w:p>
    <w:p w14:paraId="6A0D8F1F" w14:textId="43637381" w:rsidR="00654536" w:rsidRDefault="00654536" w:rsidP="00654536">
      <w:pPr>
        <w:pStyle w:val="NormalWeb"/>
        <w:numPr>
          <w:ilvl w:val="1"/>
          <w:numId w:val="12"/>
        </w:numPr>
      </w:pPr>
      <w:r>
        <w:t>This linear interpolation approximates partial area coverage.</w:t>
      </w:r>
      <w:r>
        <w:br/>
      </w:r>
    </w:p>
    <w:p w14:paraId="0A2FB107" w14:textId="6ADC2981" w:rsidR="00654536" w:rsidRPr="00654536" w:rsidRDefault="00654536" w:rsidP="00654536">
      <w:pPr>
        <w:pStyle w:val="ListParagraph"/>
        <w:numPr>
          <w:ilvl w:val="0"/>
          <w:numId w:val="12"/>
        </w:numPr>
      </w:pPr>
      <w:r w:rsidRPr="00654536">
        <w:rPr>
          <w:b/>
          <w:bCs/>
        </w:rPr>
        <w:t>Final Weighted SNR Calculation</w:t>
      </w:r>
      <w:r>
        <w:rPr>
          <w:b/>
          <w:bCs/>
        </w:rPr>
        <w:br/>
      </w:r>
      <w:r>
        <w:rPr>
          <w:b/>
          <w:bCs/>
        </w:rPr>
        <w:br/>
      </w:r>
      <w:r w:rsidRPr="00654536">
        <w:t>The SNR is then:</w:t>
      </w:r>
      <w:r>
        <w:br/>
      </w:r>
      <m:oMathPara>
        <m:oMath>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weighted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mix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num>
            <m:den>
              <m:sSub>
                <m:sSubPr>
                  <m:ctrlPr>
                    <w:rPr>
                      <w:rFonts w:ascii="Cambria Math" w:hAnsi="Cambria Math"/>
                      <w:i/>
                    </w:rPr>
                  </m:ctrlPr>
                </m:sSubPr>
                <m:e>
                  <m:r>
                    <w:rPr>
                      <w:rFonts w:ascii="Cambria Math" w:hAnsi="Cambria Math"/>
                    </w:rPr>
                    <m:t>S</m:t>
                  </m:r>
                </m:e>
                <m:sub>
                  <m:r>
                    <w:rPr>
                      <w:rFonts w:ascii="Cambria Math" w:hAnsi="Cambria Math"/>
                    </w:rPr>
                    <m:t>NEDT</m:t>
                  </m:r>
                </m:sub>
              </m:sSub>
            </m:den>
          </m:f>
          <m:r>
            <w:rPr>
              <w:rFonts w:ascii="Cambria Math" w:hAnsi="Cambria Math"/>
            </w:rPr>
            <m:t>​​​</m:t>
          </m:r>
          <m:r>
            <m:rPr>
              <m:sty m:val="p"/>
            </m:rPr>
            <w:br/>
          </m:r>
        </m:oMath>
        <m:oMath>
          <m:r>
            <m:rPr>
              <m:sty m:val="p"/>
            </m:rPr>
            <w:br/>
          </m:r>
        </m:oMath>
      </m:oMathPara>
      <w:r w:rsidRPr="00654536">
        <w:t>This quantifies how distinguishable the mixed pixel is from the pure background, normalized by the noise level.</w:t>
      </w:r>
    </w:p>
    <w:p w14:paraId="441506B2" w14:textId="77777777" w:rsidR="00A81179" w:rsidRDefault="00A81179">
      <w:pPr>
        <w:jc w:val="right"/>
      </w:pPr>
    </w:p>
    <w:p w14:paraId="75AEB912" w14:textId="77777777" w:rsidR="00A81179" w:rsidRDefault="00A81179">
      <w:pPr>
        <w:jc w:val="right"/>
      </w:pPr>
    </w:p>
    <w:p w14:paraId="4AFEE2A5" w14:textId="77777777" w:rsidR="00A81179" w:rsidRDefault="00A81179">
      <w:pPr>
        <w:jc w:val="right"/>
      </w:pPr>
    </w:p>
    <w:p w14:paraId="2F49BE91" w14:textId="77777777" w:rsidR="00A81179" w:rsidRDefault="00000000">
      <w:pPr>
        <w:jc w:val="right"/>
        <w:rPr>
          <w:i/>
        </w:rPr>
      </w:pPr>
      <w:r>
        <w:rPr>
          <w:i/>
        </w:rPr>
        <w:t>Seyed Ali Rashidi</w:t>
      </w:r>
    </w:p>
    <w:p w14:paraId="3B20865C" w14:textId="77777777" w:rsidR="00A81179" w:rsidRDefault="00000000">
      <w:pPr>
        <w:jc w:val="right"/>
        <w:rPr>
          <w:i/>
        </w:rPr>
      </w:pPr>
      <w:r>
        <w:rPr>
          <w:i/>
        </w:rPr>
        <w:t>Payload</w:t>
      </w:r>
    </w:p>
    <w:p w14:paraId="69CF4E69" w14:textId="77777777" w:rsidR="00A81179" w:rsidRDefault="00000000">
      <w:pPr>
        <w:jc w:val="right"/>
        <w:rPr>
          <w:i/>
        </w:rPr>
      </w:pPr>
      <w:r>
        <w:rPr>
          <w:i/>
        </w:rPr>
        <w:t>IGNIS</w:t>
      </w:r>
    </w:p>
    <w:p w14:paraId="51000DED" w14:textId="77777777" w:rsidR="00A81179" w:rsidRDefault="00A81179">
      <w:pPr>
        <w:jc w:val="right"/>
        <w:rPr>
          <w:i/>
        </w:rPr>
      </w:pPr>
    </w:p>
    <w:p w14:paraId="0A2319A3" w14:textId="77777777" w:rsidR="00A81179" w:rsidRDefault="00000000">
      <w:pPr>
        <w:jc w:val="right"/>
        <w:rPr>
          <w:i/>
        </w:rPr>
      </w:pPr>
      <w:r>
        <w:rPr>
          <w:i/>
        </w:rPr>
        <w:t>Pierluca De Felice</w:t>
      </w:r>
    </w:p>
    <w:p w14:paraId="7F9B4233" w14:textId="77777777" w:rsidR="00A81179" w:rsidRDefault="00000000">
      <w:pPr>
        <w:jc w:val="right"/>
        <w:rPr>
          <w:i/>
        </w:rPr>
      </w:pPr>
      <w:r>
        <w:rPr>
          <w:i/>
        </w:rPr>
        <w:t>Head</w:t>
      </w:r>
    </w:p>
    <w:p w14:paraId="0247A361" w14:textId="77777777" w:rsidR="00A81179" w:rsidRDefault="00000000">
      <w:pPr>
        <w:jc w:val="right"/>
        <w:rPr>
          <w:i/>
        </w:rPr>
      </w:pPr>
      <w:r>
        <w:rPr>
          <w:i/>
        </w:rPr>
        <w:t>IGNIS</w:t>
      </w:r>
    </w:p>
    <w:sectPr w:rsidR="00A81179">
      <w:head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E4C0F" w14:textId="77777777" w:rsidR="00F1564D" w:rsidRDefault="00F1564D">
      <w:pPr>
        <w:spacing w:after="0" w:line="240" w:lineRule="auto"/>
      </w:pPr>
      <w:r>
        <w:separator/>
      </w:r>
    </w:p>
  </w:endnote>
  <w:endnote w:type="continuationSeparator" w:id="0">
    <w:p w14:paraId="2F4DDD66" w14:textId="77777777" w:rsidR="00F1564D" w:rsidRDefault="00F1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4E95B" w14:textId="77777777" w:rsidR="00F1564D" w:rsidRDefault="00F1564D">
      <w:pPr>
        <w:spacing w:after="0" w:line="240" w:lineRule="auto"/>
      </w:pPr>
      <w:r>
        <w:separator/>
      </w:r>
    </w:p>
  </w:footnote>
  <w:footnote w:type="continuationSeparator" w:id="0">
    <w:p w14:paraId="5FC54937" w14:textId="77777777" w:rsidR="00F1564D" w:rsidRDefault="00F15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EA0C9" w14:textId="77777777" w:rsidR="00A81179" w:rsidRDefault="00000000">
    <w:r>
      <w:rPr>
        <w:noProof/>
      </w:rPr>
      <w:drawing>
        <wp:anchor distT="114300" distB="114300" distL="114300" distR="114300" simplePos="0" relativeHeight="251658240" behindDoc="0" locked="0" layoutInCell="1" hidden="0" allowOverlap="1" wp14:anchorId="6A989AB6" wp14:editId="7B743AB7">
          <wp:simplePos x="0" y="0"/>
          <wp:positionH relativeFrom="column">
            <wp:posOffset>-419098</wp:posOffset>
          </wp:positionH>
          <wp:positionV relativeFrom="paragraph">
            <wp:posOffset>-342898</wp:posOffset>
          </wp:positionV>
          <wp:extent cx="6225871" cy="1243013"/>
          <wp:effectExtent l="0" t="0" r="0" b="0"/>
          <wp:wrapTopAndBottom distT="114300" distB="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225871" cy="12430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60DB"/>
    <w:multiLevelType w:val="multilevel"/>
    <w:tmpl w:val="DD42DF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A774F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0C42D30"/>
    <w:multiLevelType w:val="multilevel"/>
    <w:tmpl w:val="0409001F"/>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5B4C01"/>
    <w:multiLevelType w:val="hybridMultilevel"/>
    <w:tmpl w:val="24205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B0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857768"/>
    <w:multiLevelType w:val="multilevel"/>
    <w:tmpl w:val="4F107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0347E6"/>
    <w:multiLevelType w:val="multilevel"/>
    <w:tmpl w:val="FF82A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AC4B32"/>
    <w:multiLevelType w:val="multilevel"/>
    <w:tmpl w:val="E2DE1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7E7D9C"/>
    <w:multiLevelType w:val="hybridMultilevel"/>
    <w:tmpl w:val="826E43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482A7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ADE0742"/>
    <w:multiLevelType w:val="hybridMultilevel"/>
    <w:tmpl w:val="F342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C151FA"/>
    <w:multiLevelType w:val="hybridMultilevel"/>
    <w:tmpl w:val="48AA2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60546">
    <w:abstractNumId w:val="0"/>
  </w:num>
  <w:num w:numId="2" w16cid:durableId="100074690">
    <w:abstractNumId w:val="5"/>
  </w:num>
  <w:num w:numId="3" w16cid:durableId="1120076205">
    <w:abstractNumId w:val="7"/>
  </w:num>
  <w:num w:numId="4" w16cid:durableId="1865707116">
    <w:abstractNumId w:val="6"/>
  </w:num>
  <w:num w:numId="5" w16cid:durableId="1432773130">
    <w:abstractNumId w:val="8"/>
  </w:num>
  <w:num w:numId="6" w16cid:durableId="1099370297">
    <w:abstractNumId w:val="4"/>
  </w:num>
  <w:num w:numId="7" w16cid:durableId="1966738978">
    <w:abstractNumId w:val="9"/>
  </w:num>
  <w:num w:numId="8" w16cid:durableId="11808837">
    <w:abstractNumId w:val="1"/>
  </w:num>
  <w:num w:numId="9" w16cid:durableId="1092046980">
    <w:abstractNumId w:val="2"/>
  </w:num>
  <w:num w:numId="10" w16cid:durableId="1389761803">
    <w:abstractNumId w:val="10"/>
  </w:num>
  <w:num w:numId="11" w16cid:durableId="2099592026">
    <w:abstractNumId w:val="3"/>
  </w:num>
  <w:num w:numId="12" w16cid:durableId="13906935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179"/>
    <w:rsid w:val="00006381"/>
    <w:rsid w:val="000E1A3A"/>
    <w:rsid w:val="001557C1"/>
    <w:rsid w:val="001A6A84"/>
    <w:rsid w:val="001C0E83"/>
    <w:rsid w:val="001F105C"/>
    <w:rsid w:val="003045AB"/>
    <w:rsid w:val="00407909"/>
    <w:rsid w:val="0053220B"/>
    <w:rsid w:val="00654536"/>
    <w:rsid w:val="006A7DD9"/>
    <w:rsid w:val="00706816"/>
    <w:rsid w:val="008359D5"/>
    <w:rsid w:val="00872E07"/>
    <w:rsid w:val="0096416B"/>
    <w:rsid w:val="009A204D"/>
    <w:rsid w:val="00A120F3"/>
    <w:rsid w:val="00A81179"/>
    <w:rsid w:val="00AA6669"/>
    <w:rsid w:val="00AB3951"/>
    <w:rsid w:val="00B14BDF"/>
    <w:rsid w:val="00B55F4E"/>
    <w:rsid w:val="00B65A91"/>
    <w:rsid w:val="00C275BD"/>
    <w:rsid w:val="00DE55A1"/>
    <w:rsid w:val="00E141A4"/>
    <w:rsid w:val="00E43117"/>
    <w:rsid w:val="00F14099"/>
    <w:rsid w:val="00F1564D"/>
    <w:rsid w:val="00FE4E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8BE8"/>
  <w15:docId w15:val="{D4FDB856-3006-4265-A358-345930FC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AA6669"/>
    <w:rPr>
      <w:rFonts w:ascii="Calibri" w:eastAsia="Calibri" w:hAnsi="Calibri" w:cs="Calibri"/>
      <w:b/>
      <w:color w:val="366091"/>
      <w:sz w:val="28"/>
      <w:szCs w:val="28"/>
    </w:rPr>
  </w:style>
  <w:style w:type="paragraph" w:styleId="ListParagraph">
    <w:name w:val="List Paragraph"/>
    <w:basedOn w:val="Normal"/>
    <w:uiPriority w:val="34"/>
    <w:qFormat/>
    <w:rsid w:val="00AA6669"/>
    <w:pPr>
      <w:ind w:left="720"/>
      <w:contextualSpacing/>
    </w:pPr>
  </w:style>
  <w:style w:type="paragraph" w:customStyle="1" w:styleId="Style1">
    <w:name w:val="Style1"/>
    <w:basedOn w:val="Heading1"/>
    <w:link w:val="Style1Char"/>
    <w:qFormat/>
    <w:rsid w:val="00AA6669"/>
    <w:pPr>
      <w:numPr>
        <w:numId w:val="9"/>
      </w:numPr>
    </w:pPr>
  </w:style>
  <w:style w:type="character" w:customStyle="1" w:styleId="Style1Char">
    <w:name w:val="Style1 Char"/>
    <w:basedOn w:val="Heading1Char"/>
    <w:link w:val="Style1"/>
    <w:rsid w:val="00AA6669"/>
    <w:rPr>
      <w:rFonts w:ascii="Calibri" w:eastAsia="Calibri" w:hAnsi="Calibri" w:cs="Calibri"/>
      <w:b/>
      <w:color w:val="366091"/>
      <w:sz w:val="28"/>
      <w:szCs w:val="28"/>
    </w:rPr>
  </w:style>
  <w:style w:type="character" w:styleId="PlaceholderText">
    <w:name w:val="Placeholder Text"/>
    <w:basedOn w:val="DefaultParagraphFont"/>
    <w:uiPriority w:val="99"/>
    <w:semiHidden/>
    <w:rsid w:val="00C275BD"/>
    <w:rPr>
      <w:color w:val="666666"/>
    </w:rPr>
  </w:style>
  <w:style w:type="paragraph" w:styleId="NormalWeb">
    <w:name w:val="Normal (Web)"/>
    <w:basedOn w:val="Normal"/>
    <w:uiPriority w:val="99"/>
    <w:semiHidden/>
    <w:unhideWhenUsed/>
    <w:rsid w:val="00B14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B14BDF"/>
  </w:style>
  <w:style w:type="character" w:customStyle="1" w:styleId="vlist-s">
    <w:name w:val="vlist-s"/>
    <w:basedOn w:val="DefaultParagraphFont"/>
    <w:rsid w:val="00B14BDF"/>
  </w:style>
  <w:style w:type="character" w:customStyle="1" w:styleId="katex-mathml">
    <w:name w:val="katex-mathml"/>
    <w:basedOn w:val="DefaultParagraphFont"/>
    <w:rsid w:val="00B14BDF"/>
  </w:style>
  <w:style w:type="character" w:customStyle="1" w:styleId="mpunct">
    <w:name w:val="mpunct"/>
    <w:basedOn w:val="DefaultParagraphFont"/>
    <w:rsid w:val="006A7DD9"/>
  </w:style>
  <w:style w:type="character" w:styleId="Strong">
    <w:name w:val="Strong"/>
    <w:basedOn w:val="DefaultParagraphFont"/>
    <w:uiPriority w:val="22"/>
    <w:qFormat/>
    <w:rsid w:val="006A7DD9"/>
    <w:rPr>
      <w:b/>
      <w:bCs/>
    </w:rPr>
  </w:style>
  <w:style w:type="character" w:customStyle="1" w:styleId="mrel">
    <w:name w:val="mrel"/>
    <w:basedOn w:val="DefaultParagraphFont"/>
    <w:rsid w:val="006A7DD9"/>
  </w:style>
  <w:style w:type="character" w:customStyle="1" w:styleId="mbin">
    <w:name w:val="mbin"/>
    <w:basedOn w:val="DefaultParagraphFont"/>
    <w:rsid w:val="006A7DD9"/>
  </w:style>
  <w:style w:type="character" w:customStyle="1" w:styleId="mopen">
    <w:name w:val="mopen"/>
    <w:basedOn w:val="DefaultParagraphFont"/>
    <w:rsid w:val="006A7DD9"/>
  </w:style>
  <w:style w:type="character" w:customStyle="1" w:styleId="mclose">
    <w:name w:val="mclose"/>
    <w:basedOn w:val="DefaultParagraphFont"/>
    <w:rsid w:val="006A7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2641">
      <w:bodyDiv w:val="1"/>
      <w:marLeft w:val="0"/>
      <w:marRight w:val="0"/>
      <w:marTop w:val="0"/>
      <w:marBottom w:val="0"/>
      <w:divBdr>
        <w:top w:val="none" w:sz="0" w:space="0" w:color="auto"/>
        <w:left w:val="none" w:sz="0" w:space="0" w:color="auto"/>
        <w:bottom w:val="none" w:sz="0" w:space="0" w:color="auto"/>
        <w:right w:val="none" w:sz="0" w:space="0" w:color="auto"/>
      </w:divBdr>
    </w:div>
    <w:div w:id="236332711">
      <w:bodyDiv w:val="1"/>
      <w:marLeft w:val="0"/>
      <w:marRight w:val="0"/>
      <w:marTop w:val="0"/>
      <w:marBottom w:val="0"/>
      <w:divBdr>
        <w:top w:val="none" w:sz="0" w:space="0" w:color="auto"/>
        <w:left w:val="none" w:sz="0" w:space="0" w:color="auto"/>
        <w:bottom w:val="none" w:sz="0" w:space="0" w:color="auto"/>
        <w:right w:val="none" w:sz="0" w:space="0" w:color="auto"/>
      </w:divBdr>
    </w:div>
    <w:div w:id="281695378">
      <w:bodyDiv w:val="1"/>
      <w:marLeft w:val="0"/>
      <w:marRight w:val="0"/>
      <w:marTop w:val="0"/>
      <w:marBottom w:val="0"/>
      <w:divBdr>
        <w:top w:val="none" w:sz="0" w:space="0" w:color="auto"/>
        <w:left w:val="none" w:sz="0" w:space="0" w:color="auto"/>
        <w:bottom w:val="none" w:sz="0" w:space="0" w:color="auto"/>
        <w:right w:val="none" w:sz="0" w:space="0" w:color="auto"/>
      </w:divBdr>
    </w:div>
    <w:div w:id="492138123">
      <w:bodyDiv w:val="1"/>
      <w:marLeft w:val="0"/>
      <w:marRight w:val="0"/>
      <w:marTop w:val="0"/>
      <w:marBottom w:val="0"/>
      <w:divBdr>
        <w:top w:val="none" w:sz="0" w:space="0" w:color="auto"/>
        <w:left w:val="none" w:sz="0" w:space="0" w:color="auto"/>
        <w:bottom w:val="none" w:sz="0" w:space="0" w:color="auto"/>
        <w:right w:val="none" w:sz="0" w:space="0" w:color="auto"/>
      </w:divBdr>
    </w:div>
    <w:div w:id="1363285183">
      <w:bodyDiv w:val="1"/>
      <w:marLeft w:val="0"/>
      <w:marRight w:val="0"/>
      <w:marTop w:val="0"/>
      <w:marBottom w:val="0"/>
      <w:divBdr>
        <w:top w:val="none" w:sz="0" w:space="0" w:color="auto"/>
        <w:left w:val="none" w:sz="0" w:space="0" w:color="auto"/>
        <w:bottom w:val="none" w:sz="0" w:space="0" w:color="auto"/>
        <w:right w:val="none" w:sz="0" w:space="0" w:color="auto"/>
      </w:divBdr>
    </w:div>
    <w:div w:id="1402485063">
      <w:bodyDiv w:val="1"/>
      <w:marLeft w:val="0"/>
      <w:marRight w:val="0"/>
      <w:marTop w:val="0"/>
      <w:marBottom w:val="0"/>
      <w:divBdr>
        <w:top w:val="none" w:sz="0" w:space="0" w:color="auto"/>
        <w:left w:val="none" w:sz="0" w:space="0" w:color="auto"/>
        <w:bottom w:val="none" w:sz="0" w:space="0" w:color="auto"/>
        <w:right w:val="none" w:sz="0" w:space="0" w:color="auto"/>
      </w:divBdr>
    </w:div>
    <w:div w:id="1919636231">
      <w:bodyDiv w:val="1"/>
      <w:marLeft w:val="0"/>
      <w:marRight w:val="0"/>
      <w:marTop w:val="0"/>
      <w:marBottom w:val="0"/>
      <w:divBdr>
        <w:top w:val="none" w:sz="0" w:space="0" w:color="auto"/>
        <w:left w:val="none" w:sz="0" w:space="0" w:color="auto"/>
        <w:bottom w:val="none" w:sz="0" w:space="0" w:color="auto"/>
        <w:right w:val="none" w:sz="0" w:space="0" w:color="auto"/>
      </w:divBdr>
    </w:div>
    <w:div w:id="2028434935">
      <w:bodyDiv w:val="1"/>
      <w:marLeft w:val="0"/>
      <w:marRight w:val="0"/>
      <w:marTop w:val="0"/>
      <w:marBottom w:val="0"/>
      <w:divBdr>
        <w:top w:val="none" w:sz="0" w:space="0" w:color="auto"/>
        <w:left w:val="none" w:sz="0" w:space="0" w:color="auto"/>
        <w:bottom w:val="none" w:sz="0" w:space="0" w:color="auto"/>
        <w:right w:val="none" w:sz="0" w:space="0" w:color="auto"/>
      </w:divBdr>
    </w:div>
    <w:div w:id="2123068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f25Lo0cTVbFdVAYMT0TxPlhz2w==">CgMxLjAyDmguejN2cHhzc3U0bms0Mg5oLnYzOHhoZDF2YWIwYzIOaC4yOHhyODNjcjF3bWYyDmguaXozMmxrbnBtbjg5Mg5oLjJpMjVxanE3ZzB1ejIOaC5senU0MmE0M2czaGYyDmgudXRqY3Ntd252NHFiOAByITEtM0dLdnBPUXNwN2ZWS2lVYUlsUkFoZ092Z1N2NmpuUg==</go:docsCustomData>
</go:gDocsCustomXmlDataStorage>
</file>

<file path=customXml/itemProps1.xml><?xml version="1.0" encoding="utf-8"?>
<ds:datastoreItem xmlns:ds="http://schemas.openxmlformats.org/officeDocument/2006/customXml" ds:itemID="{4B84DB49-F30D-48E9-A196-76581B542F4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SEYED ALI RASHIDI</cp:lastModifiedBy>
  <cp:revision>19</cp:revision>
  <cp:lastPrinted>2025-06-05T13:47:00Z</cp:lastPrinted>
  <dcterms:created xsi:type="dcterms:W3CDTF">2025-06-05T10:39:00Z</dcterms:created>
  <dcterms:modified xsi:type="dcterms:W3CDTF">2025-06-23T14:30:00Z</dcterms:modified>
</cp:coreProperties>
</file>