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d2f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c4751a"/>
                <w:sz w:val="20"/>
                <w:szCs w:val="20"/>
              </w:rPr>
              <w:t xml:space="preserve">WEBSITE DESIGN BRIEF</w:t>
            </w:r>
          </w:p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Nigeria Philanthropy Database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c4bb"/>
                <w:sz w:val="24"/>
                <w:szCs w:val="24"/>
              </w:rPr>
              <w:t xml:space="preserve">Digital Platform for Philanthropic Stakeholders in Nigeria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color w:val="7a9e8d"/>
                <w:sz w:val="18"/>
                <w:szCs w:val="18"/>
              </w:rPr>
              <w:t xml:space="preserve">Commissioned by TY Danjuma Foundation  ·  Designed by Gatefield  ·  February 2026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c4751a" w:sz="6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e3d2f"/>
          <w:sz w:val="30"/>
          <w:szCs w:val="30"/>
        </w:rPr>
        <w:t xml:space="preserve">1. Project Overview</w:t>
      </w:r>
    </w:p>
    <w:p>
      <w:pPr>
        <w:spacing w:after="8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This brief covers the design and development requirements for the Nigeria Philanthropy Database — a public-facing digital registry of philanthropic foundations and trusts operating across Nigeria's six geopolitical zones. The platform is commissioned by the TY Danjuma Foundation and developed by Gatefield as part of a three-month engagement (February–April 2026).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7e72"/>
                <w:sz w:val="20"/>
                <w:szCs w:val="20"/>
              </w:rPr>
              <w:t xml:space="preserve">Platform Name</w:t>
            </w:r>
          </w:p>
        </w:tc>
        <w:tc>
          <w:tcPr>
            <w:tcW w:type="dxa" w:w="6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Nigeria Philanthropy Database</w:t>
            </w:r>
          </w:p>
        </w:tc>
      </w:tr>
      <w:tr>
        <w:tc>
          <w:tcPr>
            <w:tcW w:type="dxa" w:w="24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7e72"/>
                <w:sz w:val="20"/>
                <w:szCs w:val="20"/>
              </w:rPr>
              <w:t xml:space="preserve">Client</w:t>
            </w:r>
          </w:p>
        </w:tc>
        <w:tc>
          <w:tcPr>
            <w:tcW w:type="dxa" w:w="6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TY Danjuma Foundation</w:t>
            </w:r>
          </w:p>
        </w:tc>
      </w:tr>
      <w:tr>
        <w:tc>
          <w:tcPr>
            <w:tcW w:type="dxa" w:w="24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7e72"/>
                <w:sz w:val="20"/>
                <w:szCs w:val="20"/>
              </w:rPr>
              <w:t xml:space="preserve">Developer</w:t>
            </w:r>
          </w:p>
        </w:tc>
        <w:tc>
          <w:tcPr>
            <w:tcW w:type="dxa" w:w="6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Gatefield Impact Foundation</w:t>
            </w:r>
          </w:p>
        </w:tc>
      </w:tr>
      <w:tr>
        <w:tc>
          <w:tcPr>
            <w:tcW w:type="dxa" w:w="24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7e72"/>
                <w:sz w:val="20"/>
                <w:szCs w:val="20"/>
              </w:rPr>
              <w:t xml:space="preserve">Data Partner</w:t>
            </w:r>
          </w:p>
        </w:tc>
        <w:tc>
          <w:tcPr>
            <w:tcW w:type="dxa" w:w="6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Nigeria Network of NGOs (NNNGO)</w:t>
            </w:r>
          </w:p>
        </w:tc>
      </w:tr>
      <w:tr>
        <w:tc>
          <w:tcPr>
            <w:tcW w:type="dxa" w:w="24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7e72"/>
                <w:sz w:val="20"/>
                <w:szCs w:val="20"/>
              </w:rPr>
              <w:t xml:space="preserve">Project Duration</w:t>
            </w:r>
          </w:p>
        </w:tc>
        <w:tc>
          <w:tcPr>
            <w:tcW w:type="dxa" w:w="6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February 1, 2026 – April 30, 2026</w:t>
            </w:r>
          </w:p>
        </w:tc>
      </w:tr>
      <w:tr>
        <w:tc>
          <w:tcPr>
            <w:tcW w:type="dxa" w:w="24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7e72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Airtable (cloud-hosted, relational, no-code)</w:t>
            </w:r>
          </w:p>
        </w:tc>
      </w:tr>
      <w:tr>
        <w:tc>
          <w:tcPr>
            <w:tcW w:type="dxa" w:w="24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7e72"/>
                <w:sz w:val="20"/>
                <w:szCs w:val="20"/>
              </w:rPr>
              <w:t xml:space="preserve">Public Frontend</w:t>
            </w:r>
          </w:p>
        </w:tc>
        <w:tc>
          <w:tcPr>
            <w:tcW w:type="dxa" w:w="6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No-code web platform integrated with Airtable</w:t>
            </w:r>
          </w:p>
        </w:tc>
      </w:tr>
      <w:tr>
        <w:tc>
          <w:tcPr>
            <w:tcW w:type="dxa" w:w="24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7e72"/>
                <w:sz w:val="20"/>
                <w:szCs w:val="20"/>
              </w:rPr>
              <w:t xml:space="preserve">Admin Interface</w:t>
            </w:r>
          </w:p>
        </w:tc>
        <w:tc>
          <w:tcPr>
            <w:tcW w:type="dxa" w:w="6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Airtable Interfaces</w:t>
            </w:r>
          </w:p>
        </w:tc>
      </w:tr>
      <w:tr>
        <w:tc>
          <w:tcPr>
            <w:tcW w:type="dxa" w:w="24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7e72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2"/>
                <w:szCs w:val="22"/>
              </w:rPr>
              <w:t xml:space="preserve">Nigeria Data Protection Regulation (NDPR)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c4751a" w:sz="6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e3d2f"/>
          <w:sz w:val="30"/>
          <w:szCs w:val="30"/>
        </w:rPr>
        <w:t xml:space="preserve">2. Platform Purpose &amp; Audience</w:t>
      </w:r>
    </w:p>
    <w:p>
      <w:pPr>
        <w:spacing w:after="8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platform addresses a critical gap in Nigeria's philanthropic sector: the absence of a centralized, searchable database of foundations and trusts. Philanthropy in Nigeria is vibrant but fragmented — limited coordination and weak transparency constrain its impact. This registry will serve as the authoritative reference point for the sector.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d2f"/>
          <w:sz w:val="22"/>
          <w:szCs w:val="22"/>
        </w:rPr>
        <w:t xml:space="preserve">Primary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Funders and foundations seeking partnership and collaboration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Policymakers and government agencies mapping philanthropic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Civil society organisations and development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Researchers and journalists covering the philanthropic sector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System administrators managing data entry, review, and publication (via Airtable)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d2f"/>
          <w:sz w:val="22"/>
          <w:szCs w:val="22"/>
        </w:rPr>
        <w:t xml:space="preserve">What the Platform Is NOT</w:t>
      </w:r>
    </w:p>
    <w:p>
      <w:pPr>
        <w:spacing w:after="8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registry is not a blog, news outlet, or grant application portal. It is a data tool — a trusted directory that users consult to find, filter, and export information on philanthropic actors in Nigeria.</w:t>
      </w:r>
    </w:p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c4751a" w:sz="6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e3d2f"/>
          <w:sz w:val="30"/>
          <w:szCs w:val="30"/>
        </w:rPr>
        <w:t xml:space="preserve">3. Page Architecture</w:t>
      </w:r>
    </w:p>
    <w:p>
      <w:pPr>
        <w:spacing w:after="8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platform consists of four public-facing pages and one admin-only interface managed through Airtable.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Landing Page</w:t>
            </w:r>
          </w:p>
        </w:tc>
        <w:tc>
          <w:tcPr>
            <w:tcW w:type="dxa" w:w="53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Hero with search bar, summary statistics, browsable org cards filtered by sector and GESI tags, geopolitical zone breakdown.</w:t>
            </w:r>
          </w:p>
        </w:tc>
      </w:tr>
      <w:tr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Search Results Page</w:t>
            </w:r>
          </w:p>
        </w:tc>
        <w:tc>
          <w:tcPr>
            <w:tcW w:type="dxa" w:w="53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Sidebar filters (org type, zone, sector, GESI), active filter chips, sortable list view, per-record export button, pagination.</w:t>
            </w:r>
          </w:p>
        </w:tc>
      </w:tr>
      <w:tr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Organisation Profile Page</w:t>
            </w:r>
          </w:p>
        </w:tc>
        <w:tc>
          <w:tcPr>
            <w:tcW w:type="dxa" w:w="53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Full profile: overview, key data fields, active programmes, contact info, GESI tags, data provenance, export/share actions.</w:t>
            </w:r>
          </w:p>
        </w:tc>
      </w:tr>
      <w:tr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About / Methodology Page</w:t>
            </w:r>
          </w:p>
        </w:tc>
        <w:tc>
          <w:tcPr>
            <w:tcW w:type="dxa" w:w="53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Explains the registry's scope, data sources, verification process, NDPR compliance, and NNNGO partnership.</w:t>
            </w:r>
          </w:p>
        </w:tc>
      </w:tr>
      <w:tr>
        <w:tc>
          <w:tcPr>
            <w:tcW w:type="dxa" w:w="1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Airtable Interface (internal)</w:t>
            </w:r>
          </w:p>
        </w:tc>
        <w:tc>
          <w:tcPr>
            <w:tcW w:type="dxa" w:w="53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Data entry, record review, approval, and publishing workflows. Role-based access for administrators.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c4751a" w:sz="6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e3d2f"/>
          <w:sz w:val="30"/>
          <w:szCs w:val="30"/>
        </w:rPr>
        <w:t xml:space="preserve">4. Design System</w:t>
      </w:r>
    </w:p>
    <w:p>
      <w:pPr>
        <w:spacing w:after="8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visual identity uses a forest green and amber palette. Green anchors the navigation, hero sections, and headers — signalling authority and credibility. Amber provides contrast for calls-to-action, highlights, and interactive elements. The mockup file should be used as the primary visual reference.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d2f"/>
          <w:sz w:val="22"/>
          <w:szCs w:val="22"/>
        </w:rPr>
        <w:t xml:space="preserve">4.1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Forest (Primary)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#1E3D2F</w:t>
            </w:r>
          </w:p>
        </w:tc>
        <w:tc>
          <w:tcPr>
            <w:tcW w:type="dxa" w:w="4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Navigation background, section headers, profile header, footer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Forest Mid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#2D5A42</w:t>
            </w:r>
          </w:p>
        </w:tc>
        <w:tc>
          <w:tcPr>
            <w:tcW w:type="dxa" w:w="4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Hover states, secondary buttons, verified badges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Amber (Accent)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#C4751A</w:t>
            </w:r>
          </w:p>
        </w:tc>
        <w:tc>
          <w:tcPr>
            <w:tcW w:type="dxa" w:w="4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CTAs, left-border hover, active states, headings accent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Amber Pale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#FDF3E3</w:t>
            </w:r>
          </w:p>
        </w:tc>
        <w:tc>
          <w:tcPr>
            <w:tcW w:type="dxa" w:w="4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Stats bar background, info boxes, data item backgrounds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Cream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#FAF7F2</w:t>
            </w:r>
          </w:p>
        </w:tc>
        <w:tc>
          <w:tcPr>
            <w:tcW w:type="dxa" w:w="4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Page background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Ink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#1A1208</w:t>
            </w:r>
          </w:p>
        </w:tc>
        <w:tc>
          <w:tcPr>
            <w:tcW w:type="dxa" w:w="4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Primary text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Mid Grey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#4A4A4A</w:t>
            </w:r>
          </w:p>
        </w:tc>
        <w:tc>
          <w:tcPr>
            <w:tcW w:type="dxa" w:w="4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Body text, descriptions</w:t>
            </w:r>
          </w:p>
        </w:tc>
      </w:tr>
      <w:tr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Warm Grey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#8A7E72</w:t>
            </w:r>
          </w:p>
        </w:tc>
        <w:tc>
          <w:tcPr>
            <w:tcW w:type="dxa" w:w="49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Labels, metadata, secondary text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d2f"/>
          <w:sz w:val="22"/>
          <w:szCs w:val="22"/>
        </w:rPr>
        <w:t xml:space="preserve">4.2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5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Playfair Display (Google)</w:t>
            </w:r>
          </w:p>
        </w:tc>
        <w:tc>
          <w:tcPr>
            <w:tcW w:type="dxa" w:w="5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Platform name, org names, section headings, profile names</w:t>
            </w:r>
          </w:p>
        </w:tc>
      </w:tr>
      <w:tr>
        <w:tc>
          <w:tcPr>
            <w:tcW w:type="dxa" w:w="2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DM Sans (Google)</w:t>
            </w:r>
          </w:p>
        </w:tc>
        <w:tc>
          <w:tcPr>
            <w:tcW w:type="dxa" w:w="5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All body copy, navigation, buttons, labels, descriptions</w:t>
            </w:r>
          </w:p>
        </w:tc>
      </w:tr>
      <w:tr>
        <w:tc>
          <w:tcPr>
            <w:tcW w:type="dxa" w:w="20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Mono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DM Mono (Google)</w:t>
            </w:r>
          </w:p>
        </w:tc>
        <w:tc>
          <w:tcPr>
            <w:tcW w:type="dxa" w:w="51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Zone badges, metadata labels, NDPR notice, filter counts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51a" w:sz="4"/>
              <w:left w:val="single" w:color="c4751a" w:sz="12"/>
              <w:bottom w:val="single" w:color="f0d5a8" w:sz="1"/>
              <w:right w:val="single" w:color="f0d5a8" w:sz="1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1208"/>
                <w:sz w:val="21"/>
                <w:szCs w:val="21"/>
              </w:rPr>
              <w:t xml:space="preserve">All three fonts are available on Google Fonts and should be loaded via the &lt;link&gt; tag. No paid fonts are required.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c4751a" w:sz="6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e3d2f"/>
          <w:sz w:val="30"/>
          <w:szCs w:val="30"/>
        </w:rPr>
        <w:t xml:space="preserve">5. Key Component Specifications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d2f"/>
          <w:sz w:val="22"/>
          <w:szCs w:val="22"/>
        </w:rPr>
        <w:t xml:space="preserve">5.1 Navigation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Background: Forest green (#1E3D2F)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Bottom border: 3px solid Amber (#C4751A)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Left: Logo mark (NP monogram in amber square) — no text beside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Right: Directory, About, Methodology links + 'Submit Organisation' CTA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Sticky — stays at top of viewport on scroll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d2f"/>
          <w:sz w:val="22"/>
          <w:szCs w:val="22"/>
        </w:rPr>
        <w:t xml:space="preserve">5.2 Hero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Background: Forest green, full-width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Heading: 'Nigeria's Philanthropy Database.' — Playfair Display, 52px, white, italic accent word in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Subheading: Single sentence describing the platform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Search bar: White card with text input and amber 'Search Registry'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No hint chips, no badge above the heading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d2f"/>
          <w:sz w:val="22"/>
          <w:szCs w:val="22"/>
        </w:rPr>
        <w:t xml:space="preserve">5.3 Stats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Background: Amber pale (#FDF3E3), border bottom in amber muted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Three stats only: Verified Organisations · Sectors Covered · Reported Annual Giving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Stat number in Playfair Display, 32px, amber; label in 12px uppercase DM Sans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d2f"/>
          <w:sz w:val="22"/>
          <w:szCs w:val="22"/>
        </w:rPr>
        <w:t xml:space="preserve">5.4 Organisation Cards (Grid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White card, 1px border, 10px border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Left accent bar (4px amber) animates in on hover via scaleY transform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Card header: Organisation initials avatar (forest green bg) + zone badge (mono, uppercase)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Body: Org name (Playfair), type label, 2-line description, tag chips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Footer: Verified checkmark + 'View profile →' link, separated by top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Three columns on desktop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d2f"/>
          <w:sz w:val="22"/>
          <w:szCs w:val="22"/>
        </w:rPr>
        <w:t xml:space="preserve">5.5 GESI Tag System</w:t>
      </w:r>
    </w:p>
    <w:p>
      <w:pPr>
        <w:spacing w:after="8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GESI tags use distinct colours so they are immediately scannable at a glance. Each tag has a background, text colour, and border in the same hue family.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4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CSS Values</w:t>
            </w:r>
          </w:p>
        </w:tc>
      </w:tr>
      <w:tr>
        <w:tc>
          <w:tcPr>
            <w:tcW w:type="dxa" w:w="24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Women-led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Purple</w:t>
            </w:r>
          </w:p>
        </w:tc>
        <w:tc>
          <w:tcPr>
            <w:tcW w:type="dxa" w:w="4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bg: #f5eaf3 · text: #7b3f6e · border: #dfc7db</w:t>
            </w:r>
          </w:p>
        </w:tc>
      </w:tr>
      <w:tr>
        <w:tc>
          <w:tcPr>
            <w:tcW w:type="dxa" w:w="24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Disability-focused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Blue</w:t>
            </w:r>
          </w:p>
        </w:tc>
        <w:tc>
          <w:tcPr>
            <w:tcW w:type="dxa" w:w="4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bg: #e8f0f7 · text: #2a5e8a · border: #c5d8eb</w:t>
            </w:r>
          </w:p>
        </w:tc>
      </w:tr>
      <w:tr>
        <w:tc>
          <w:tcPr>
            <w:tcW w:type="dxa" w:w="24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Minority-serving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Green</w:t>
            </w:r>
          </w:p>
        </w:tc>
        <w:tc>
          <w:tcPr>
            <w:tcW w:type="dxa" w:w="4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bg: #eaf3e9 · text: #3d6e3a · border: #c6dfc4</w:t>
            </w:r>
          </w:p>
        </w:tc>
      </w:tr>
      <w:tr>
        <w:tc>
          <w:tcPr>
            <w:tcW w:type="dxa" w:w="24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Sector tags</w:t>
            </w:r>
          </w:p>
        </w:tc>
        <w:tc>
          <w:tcPr>
            <w:tcW w:type="dxa" w:w="2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Amber</w:t>
            </w:r>
          </w:p>
        </w:tc>
        <w:tc>
          <w:tcPr>
            <w:tcW w:type="dxa" w:w="4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bg: amber pale · text: amber · border: amber muted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d2f"/>
          <w:sz w:val="22"/>
          <w:szCs w:val="22"/>
        </w:rPr>
        <w:t xml:space="preserve">5.6 Search Results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Two-column layout: 280px filter sidebar (white, sticky) + main results area (cream)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Sidebar: Filter groups for Org Type, Geopolitical Zone, Sector, GESI Tags — each with checkbox and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Active filters shown as removable chips (forest green) above results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Results displayed as horizontal list cards with initials, metadata, tags, View Profile button, and Export Record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Pagination at bottom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d2f"/>
          <w:sz w:val="22"/>
          <w:szCs w:val="22"/>
        </w:rPr>
        <w:t xml:space="preserve">5.7 Organisation Profile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Profile header: Forest green background with breadcrumb, org logo/initials, name, type, verified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Tab navigation: Overview · Programmes · Financials ·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Two-column body: Main content (about, key details grid, active programmes) + 340px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Sidebar: Action buttons (Export, Request Update, Share), contact info, GESI classification, data provenance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Data provenance section must include: source, verified by, last updated date, NDPR compliant badge</w:t>
      </w:r>
    </w:p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c4751a" w:sz="6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e3d2f"/>
          <w:sz w:val="30"/>
          <w:szCs w:val="30"/>
        </w:rPr>
        <w:t xml:space="preserve">6. Airtable Integration</w:t>
      </w:r>
    </w:p>
    <w:p>
      <w:pPr>
        <w:spacing w:after="8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database backend is built entirely in Airtable. The public frontend connects directly to Airtable via its API, displaying only records with a 'Published' status. All data entry, review, and approval happens in the Airtable interface — not on the public site.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d2f"/>
          <w:sz w:val="22"/>
          <w:szCs w:val="22"/>
        </w:rPr>
        <w:t xml:space="preserve">Core Entities (Airtable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Organisations — core registry table (name, type, zone, sector, description, contact, GESI tags,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Programmes — linked records of active/completed programmes per organisation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Sectors — controlled vocabulary table (Education, Healthcare, Entrepreneurship, Environment, Arts &amp; Culture,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Zones — six geopolitical zones as a lookup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Verification Log — audit trail of who verified each record and when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d2f"/>
          <w:sz w:val="22"/>
          <w:szCs w:val="22"/>
        </w:rPr>
        <w:t xml:space="preserve">Visibility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Only records with Status = 'Published' are exposed to the public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Draft, Under Review, and Archived records are hidden from public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admin Airtable interface handles the review → approval → publish workflow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3d2f"/>
          <w:sz w:val="22"/>
          <w:szCs w:val="22"/>
        </w:rPr>
        <w:t xml:space="preserve">Search &amp;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Search queries against: organisation name, description, sector, zone, GESI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Filters: Organisation Type (Foundation / Trust / Corporate Foundation), Geopolitical Zone (6 options), Sector (multi-select), GESI Tags (Women-led / Disability-focused / Minority-serving)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Sort options: Name A–Z, Most Recently Updated,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Export: Individual record export as PDF or CSV</w:t>
      </w:r>
    </w:p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c4751a" w:sz="6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e3d2f"/>
          <w:sz w:val="30"/>
          <w:szCs w:val="30"/>
        </w:rPr>
        <w:t xml:space="preserve">7. GESI Requirements</w:t>
      </w:r>
    </w:p>
    <w:p>
      <w:pPr>
        <w:spacing w:after="8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As specified in the ToR, GESI considerations must be embedded in the database design — not added as an afterthought. The following are non-negotiable requirements from TY Danjuma Foundation.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GESI metadata tags ('women-led', 'disability-focused', 'minority-serving') must be available as filterable fields on every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public search interface must include a dedicated GESI filter section in the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platform must meet WCAG 2.1 AA accessibility standards — readable by screen readers, sufficient colour contrast, keyboard-navigable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Form labels and UI text must use plain, accessible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Mobile-responsive design is required — many users in the sector access via mobile</w:t>
      </w:r>
    </w:p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c4751a" w:sz="6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e3d2f"/>
          <w:sz w:val="30"/>
          <w:szCs w:val="30"/>
        </w:rPr>
        <w:t xml:space="preserve">8. Data Governance &amp; NDPR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All data collected and displayed must comply with the Nigeria Data Protection Regulation (NDPR)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Each record must display a 'Data Last Verified' date and the source of the data (NNNGO mapping / Gatefield verification)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Organisations must be able to request updates or corrections to their records via a 'Request Update'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Audit fields (created date, last updated, reviewer name) must be configured in Airtable but are not displayed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Data export function must include a usage disclaimer referencing NDPR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An NDPR compliance notice must appear in the footer of every public page</w:t>
      </w:r>
    </w:p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c4751a" w:sz="6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e3d2f"/>
          <w:sz w:val="30"/>
          <w:szCs w:val="30"/>
        </w:rPr>
        <w:t xml:space="preserve">9. Deliverables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200"/>
        <w:gridCol w:w="1760"/>
      </w:tblGrid>
      <w:tr>
        <w:tc>
          <w:tcPr>
            <w:tcW w:type="dxa" w:w="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1</w:t>
            </w:r>
          </w:p>
        </w:tc>
        <w:tc>
          <w:tcPr>
            <w:tcW w:type="dxa" w:w="3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Design Mockup</w:t>
            </w:r>
          </w:p>
        </w:tc>
        <w:tc>
          <w:tcPr>
            <w:tcW w:type="dxa" w:w="3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HTML prototype of all three public pages for client review and approval</w:t>
            </w:r>
          </w:p>
        </w:tc>
        <w:tc>
          <w:tcPr>
            <w:tcW w:type="dxa" w:w="1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Mar 13, 2026</w:t>
            </w:r>
          </w:p>
        </w:tc>
      </w:tr>
      <w:tr>
        <w:tc>
          <w:tcPr>
            <w:tcW w:type="dxa" w:w="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2</w:t>
            </w:r>
          </w:p>
        </w:tc>
        <w:tc>
          <w:tcPr>
            <w:tcW w:type="dxa" w:w="3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Airtable Backend</w:t>
            </w:r>
          </w:p>
        </w:tc>
        <w:tc>
          <w:tcPr>
            <w:tcW w:type="dxa" w:w="3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Fully structured workspace with relational tables, role-based access, and admin interface</w:t>
            </w:r>
          </w:p>
        </w:tc>
        <w:tc>
          <w:tcPr>
            <w:tcW w:type="dxa" w:w="1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Mar 27, 2026</w:t>
            </w:r>
          </w:p>
        </w:tc>
      </w:tr>
      <w:tr>
        <w:tc>
          <w:tcPr>
            <w:tcW w:type="dxa" w:w="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3</w:t>
            </w:r>
          </w:p>
        </w:tc>
        <w:tc>
          <w:tcPr>
            <w:tcW w:type="dxa" w:w="3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Public Registry (Staging)</w:t>
            </w:r>
          </w:p>
        </w:tc>
        <w:tc>
          <w:tcPr>
            <w:tcW w:type="dxa" w:w="3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Frontend integrated with Airtable backend, search and filter functional, GESI tags live</w:t>
            </w:r>
          </w:p>
        </w:tc>
        <w:tc>
          <w:tcPr>
            <w:tcW w:type="dxa" w:w="1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Apr 10, 2026</w:t>
            </w:r>
          </w:p>
        </w:tc>
      </w:tr>
      <w:tr>
        <w:tc>
          <w:tcPr>
            <w:tcW w:type="dxa" w:w="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4</w:t>
            </w:r>
          </w:p>
        </w:tc>
        <w:tc>
          <w:tcPr>
            <w:tcW w:type="dxa" w:w="3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Testing &amp; Client Approval</w:t>
            </w:r>
          </w:p>
        </w:tc>
        <w:tc>
          <w:tcPr>
            <w:tcW w:type="dxa" w:w="3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Full QA of search, filters, profiles, exports, visibility rules, and mobile responsiveness</w:t>
            </w:r>
          </w:p>
        </w:tc>
        <w:tc>
          <w:tcPr>
            <w:tcW w:type="dxa" w:w="1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Apr 23, 2026</w:t>
            </w:r>
          </w:p>
        </w:tc>
      </w:tr>
      <w:tr>
        <w:tc>
          <w:tcPr>
            <w:tcW w:type="dxa" w:w="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5</w:t>
            </w:r>
          </w:p>
        </w:tc>
        <w:tc>
          <w:tcPr>
            <w:tcW w:type="dxa" w:w="3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User Manual</w:t>
            </w:r>
          </w:p>
        </w:tc>
        <w:tc>
          <w:tcPr>
            <w:tcW w:type="dxa" w:w="3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Admin guide covering Airtable workflows, data governance rules, and update procedures</w:t>
            </w:r>
          </w:p>
        </w:tc>
        <w:tc>
          <w:tcPr>
            <w:tcW w:type="dxa" w:w="1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Apr 15, 2026</w:t>
            </w:r>
          </w:p>
        </w:tc>
      </w:tr>
      <w:tr>
        <w:tc>
          <w:tcPr>
            <w:tcW w:type="dxa" w:w="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6</w:t>
            </w:r>
          </w:p>
        </w:tc>
        <w:tc>
          <w:tcPr>
            <w:tcW w:type="dxa" w:w="3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Training Session</w:t>
            </w:r>
          </w:p>
        </w:tc>
        <w:tc>
          <w:tcPr>
            <w:tcW w:type="dxa" w:w="3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Live training for designated TYDF/NNNGO system administrators</w:t>
            </w:r>
          </w:p>
        </w:tc>
        <w:tc>
          <w:tcPr>
            <w:tcW w:type="dxa" w:w="1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Apr 27, 2026</w:t>
            </w:r>
          </w:p>
        </w:tc>
      </w:tr>
      <w:tr>
        <w:tc>
          <w:tcPr>
            <w:tcW w:type="dxa" w:w="8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7</w:t>
            </w:r>
          </w:p>
        </w:tc>
        <w:tc>
          <w:tcPr>
            <w:tcW w:type="dxa" w:w="3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Final Report</w:t>
            </w:r>
          </w:p>
        </w:tc>
        <w:tc>
          <w:tcPr>
            <w:tcW w:type="dxa" w:w="32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Summary of process, outcomes, sustainability recommendations, and platform governance framework</w:t>
            </w:r>
          </w:p>
        </w:tc>
        <w:tc>
          <w:tcPr>
            <w:tcW w:type="dxa" w:w="1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Apr 27, 2026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c4751a" w:sz="6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e3d2f"/>
          <w:sz w:val="30"/>
          <w:szCs w:val="30"/>
        </w:rPr>
        <w:t xml:space="preserve">10. Reference Files</w:t>
      </w:r>
    </w:p>
    <w:p>
      <w:pPr>
        <w:spacing w:after="8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following files accompany this brief and should be reviewed before development begins.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1e3d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tyd-database-mockup.html</w:t>
            </w:r>
          </w:p>
        </w:tc>
        <w:tc>
          <w:tcPr>
            <w:tcW w:type="dxa" w:w="5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Interactive HTML mockup of the landing page, search results, and organisation profile. Use as the primary visual reference.</w:t>
            </w:r>
          </w:p>
        </w:tc>
      </w:tr>
      <w:tr>
        <w:tc>
          <w:tcPr>
            <w:tcW w:type="dxa" w:w="3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GF_PGAP_Inception_Report.pdf</w:t>
            </w:r>
          </w:p>
        </w:tc>
        <w:tc>
          <w:tcPr>
            <w:tcW w:type="dxa" w:w="5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Full project scope, activity breakdown, and workplan. Defines all technical requirements and timelines.</w:t>
            </w:r>
          </w:p>
        </w:tc>
      </w:tr>
      <w:tr>
        <w:tc>
          <w:tcPr>
            <w:tcW w:type="dxa" w:w="360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Terms_of_Reference.pdf</w:t>
            </w:r>
          </w:p>
        </w:tc>
        <w:tc>
          <w:tcPr>
            <w:tcW w:type="dxa" w:w="5760"/>
            <w:tcBorders>
              <w:top w:val="single" w:color="e0d8cc" w:sz="1"/>
              <w:left w:val="single" w:color="e0d8cc" w:sz="1"/>
              <w:bottom w:val="single" w:color="e0d8cc" w:sz="1"/>
              <w:right w:val="single" w:color="e0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208"/>
                <w:sz w:val="21"/>
                <w:szCs w:val="21"/>
              </w:rPr>
              <w:t xml:space="preserve">Original ToR from TY Danjuma Foundation including GESI requirements and payment milestones.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51a" w:sz="4"/>
              <w:left w:val="single" w:color="c4751a" w:sz="12"/>
              <w:bottom w:val="single" w:color="f0d5a8" w:sz="1"/>
              <w:right w:val="single" w:color="f0d5a8" w:sz="1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1208"/>
                <w:sz w:val="21"/>
                <w:szCs w:val="21"/>
              </w:rPr>
              <w:t xml:space="preserve">Questions on this brief should be directed to Farida Adamu, Insights Lead, Gatefield Impact Foundation — the primary point of contact for this project.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c4751a" w:sz="4" w:space="6"/>
        </w:pBdr>
        <w:spacing w:after="0" w:before="0"/>
      </w:pPr>
      <w:r>
        <w:rPr>
          <w:rFonts w:ascii="Calibri" w:cs="Calibri" w:eastAsia="Calibri" w:hAnsi="Calibri"/>
          <w:i/>
          <w:iCs/>
          <w:color w:val="8a7e72"/>
          <w:sz w:val="18"/>
          <w:szCs w:val="18"/>
        </w:rPr>
        <w:t xml:space="preserve">Nigeria Philanthropy Database · Website Design Brief · Gatefield for TY Danjuma Foundation ·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Georgia" w:cs="Georgia" w:eastAsia="Georgia" w:hAnsi="Georgia"/>
      <w:b/>
      <w:bCs/>
      <w:color w:val="1e3d2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Georgia" w:cs="Georgia" w:eastAsia="Georgia" w:hAnsi="Georgia"/>
      <w:b/>
      <w:bCs/>
      <w:color w:val="1a120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2026-02-27T15:13:39.552Z</dcterms:created>
  <dcterms:modified xsi:type="dcterms:W3CDTF">2026-02-27T15:13:39.553Z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