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(далее — «Кредитор»)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total_amount }} ({{ total_amount_words_ru }})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2.</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 city_uz }} ш.</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(СТИР: {{ creditor_tin }}, юридик манзили: {{ creditor_address }})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total_amount }} ({{ total_amount_words_uz }})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Қарздор кўрсатилган қарзни {{ start_date }} йилдан {{ end_date }} йилгача бўлган муддатда, 2-бандда келтирилган тўлов жадвалига мувофиқ тўлиқ тўлашга мажбурият олади.</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