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(далее — «Кредитор»)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total_amount }} ({{ total_amount_words_ru }})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2.</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Настоящая расписка составлена в двух экземплярах, имеющих одинаковую юридическую силу.</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