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(Қарздорнинг шахсий маълумотлари бўлимидаги чизиқ ____ қаторлар ўз қўли билан тўлдирилади; сумма — босма ҳолда)</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 city_uz }} ш.</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300" w:line="276"/>
        <w:jc w:val="both"/>
      </w:pPr>
      <w:r>
        <w:rPr>
          <w:rFonts w:ascii="Times New Roman" w:cs="Times New Roman" w:eastAsia="Times New Roman" w:hAnsi="Times New Roman"/>
          <w:b w:val="false"/>
          <w:bCs w:val="false"/>
          <w:i w:val="false"/>
          <w:iCs w:val="false"/>
          <w:sz w:val="24"/>
          <w:szCs w:val="24"/>
        </w:rPr>
        <w:t xml:space="preserve">бундан буён «Қарздор» деб юритилувчи,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(СТИР: {{ creditor_tin }}, юридик манзили: {{ creditor_address }}) (бундан буён — «Кредитор») томондан қуйидаги товарни қабул қилиб олдим: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умумий қиймати </w:t>
      </w:r>
      <w:r>
        <w:rPr>
          <w:rFonts w:ascii="Times New Roman" w:cs="Times New Roman" w:eastAsia="Times New Roman" w:hAnsi="Times New Roman"/>
          <w:b/>
          <w:bCs/>
          <w:i w:val="false"/>
          <w:iCs w:val="false"/>
          <w:sz w:val="24"/>
          <w:szCs w:val="24"/>
        </w:rPr>
        <w:t>{{ total_amount }} ({{ total_amount_words_uz }}) сўм</w:t>
      </w:r>
      <w:r>
        <w:rPr>
          <w:rFonts w:ascii="Times New Roman" w:cs="Times New Roman" w:eastAsia="Times New Roman" w:hAnsi="Times New Roman"/>
          <w:b w:val="false"/>
          <w:bCs w:val="false"/>
          <w:i w:val="false"/>
          <w:iCs w:val="false"/>
          <w:sz w:val="24"/>
          <w:szCs w:val="24"/>
        </w:rPr>
        <w:t xml:space="preserve"> (бундан буён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Қарздор кўрсатилган қарзни {{ start_date }} йилдан {{ end_date }} йилгача бўлган муддатда, 2-бандда келтирилган тўлов жадвалига мувофиқ тўлиқ тўлашга мажбурият олади.</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Қарз қолдиғи</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Ушбу тилхат бир хил юридик кучга эга бўлган икки нусхада тузилди.</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