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03618">
      <w:pPr>
        <w:pStyle w:val="8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Recent Advancements in Medical Biotechnology</w:t>
      </w:r>
    </w:p>
    <w:p w14:paraId="66AC30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bookmarkStart w:id="0" w:name="_GoBack"/>
      <w:bookmarkEnd w:id="0"/>
      <w:r>
        <w:rPr>
          <w:rStyle w:val="9"/>
          <w:rFonts w:hint="default" w:ascii="Times New Roman" w:hAnsi="Times New Roman" w:cs="Times New Roman"/>
          <w:sz w:val="24"/>
          <w:szCs w:val="24"/>
        </w:rPr>
        <w:t>Reference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s</w:t>
      </w:r>
    </w:p>
    <w:p w14:paraId="06B887F7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Fenton, O., Olafson, K., Pillai, P., Mitchell, M., &amp; Langer, R. (2018). Advances in Biomaterials for Drug Delivery. Advanced Materials, 30. 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instrText xml:space="preserve"> HYPERLINK "https://doi.org/10.1002/adma.201705328."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  <w:highlight w:val="none"/>
          <w:lang w:val="en-US"/>
        </w:rPr>
        <w:t>https://doi.org/10.1002/adma.201705328.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end"/>
      </w:r>
    </w:p>
    <w:p w14:paraId="7FBAA4E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Hoang, D., Pham, P., Bach, T., Ngo, A., Nguyen, Q., Phan, T., Nguyen, G., Le, P., Hoang, V., Forsyth, N., Heke, M., &amp; Nguyen, L. (2022). Stem cell-based therapy for human diseases. Signal Transduction and Targeted Therapy, . 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instrText xml:space="preserve"> HYPERLINK "https://doi.org/10.1038/s41392-022-01134-4."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  <w:highlight w:val="none"/>
          <w:lang w:val="en-US"/>
        </w:rPr>
        <w:t>https://doi.org/10.1038/s41392-022-01134-4.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end"/>
      </w:r>
    </w:p>
    <w:p w14:paraId="2D143F8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Odilibe, I., Anyanwu, E., Arowoogun, J., Akomolafe, O., Onwumere, C., &amp; Ogugua, J. (2024). The role of biotechnology in healthcare: A review of global trends. World Journal of Advanced Research and Reviews.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instrText xml:space="preserve"> HYPERLINK "https://doi.org/10.30574/wjarr.2024.21.1.0382"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https://doi.org/10.30574/wjarr.2024.21.1.0382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fldChar w:fldCharType="end"/>
      </w:r>
    </w:p>
    <w:p w14:paraId="50970BE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Sadee, W., Wang, D., Hartmann, K., &amp; Toland, A. (2023). Pharmacogenomics: Driving Personalized Medicine. Pharmacological Reviews, 75, 789 - 814.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instrText xml:space="preserve"> HYPERLINK "https://doi.org/10.1124/pharmrev.122.000810."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  <w:highlight w:val="none"/>
          <w:lang w:val="en-US"/>
        </w:rPr>
        <w:t>https://doi.org/10.1124/pharmrev.122.000810.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fldChar w:fldCharType="end"/>
      </w:r>
    </w:p>
    <w:p w14:paraId="621E79D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Hyun I. (2010). The bioethics of stem cell research and therapy. The Journal of clinical investigation, 120(1), 71–75.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"https://doi.org/10.1172/JCI40435"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https://doi.org/10.1172/JCI40435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55813F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Lancaster, M. A., &amp; Knoblich, J. A. (2014). Organogenesis in a dish: modeling development and disease using organoid technologies.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Science (New York, N.Y.)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345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 xml:space="preserve">(6194), 1247125.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instrText xml:space="preserve"> HYPERLINK "https://doi.org/10.1126/science.1247125"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https://doi.org/10.1126/science.1247125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end"/>
      </w:r>
    </w:p>
    <w:p w14:paraId="7D27DA9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Takahashi, K., &amp; Yamanaka, S. (2006). Induction of pluripotent stem cells from mouse embryonic and adult fibroblast cultures by defined factors.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Cell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126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 xml:space="preserve">(4), 663–676.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instrText xml:space="preserve"> HYPERLINK "https://doi.org/10.1016/j.cell.2006.07.024"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https://doi.org/10.1016/j.cell.2006.07.024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end"/>
      </w:r>
    </w:p>
    <w:p w14:paraId="0F1CCE0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Trounson, A., &amp; McDonald, C. (2015). Stem Cell Therapies in Clinical Trials: Progress and Challenges.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Cell stem cell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17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 xml:space="preserve">(1), 11–22.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instrText xml:space="preserve"> HYPERLINK "https://doi.org/10.1016/j.stem.2015.06.007"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https://doi.org/10.1016/j.stem.2015.06.007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end"/>
      </w:r>
    </w:p>
    <w:p w14:paraId="0659A5C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Parmar, M., Grealish, S., &amp; Henchcliffe, C. (2020). The future of stem cell therapies for Parkinson disease.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Nature reviews. Neuroscience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21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 xml:space="preserve">(2), 103–115.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instrText xml:space="preserve"> HYPERLINK "https://doi.org/10.1038/s41583-019-0257-7"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https://doi.org/10.1038/s41583-019-0257-7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end"/>
      </w:r>
    </w:p>
    <w:p w14:paraId="5750AB4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Caliendo, A. M., Gilbert, D. N., Ginocchio, C. C., Hanson, K. E., May, L., Quinn, T. C., Tenover, F. C., Alland, D., Blaschke, A. J., Bonomo, R. A., Carroll, K. C., Ferraro, M. J., Hirschhorn, L. R., Joseph, W. P., Karchmer, T., MacIntyre, A. T., Reller, L. B., Jackson, A. F., &amp; Infectious Diseases Society of America (IDSA) (2013). Better tests, better care: improved diagnostics for infectious diseases.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Clinical infectious diseases : an official publication of the Infectious Diseases Society of America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Segoe UI" w:cs="Times New Roman"/>
          <w:i/>
          <w:iCs/>
          <w:caps w:val="0"/>
          <w:color w:val="212121"/>
          <w:spacing w:val="0"/>
          <w:sz w:val="24"/>
          <w:szCs w:val="24"/>
          <w:shd w:val="clear" w:fill="FFFFFF"/>
        </w:rPr>
        <w:t>57 Suppl 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 xml:space="preserve">(Suppl 3), S139–S170.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instrText xml:space="preserve"> HYPERLINK "https://doi.org/10.1093/cid/cit578"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https://doi.org/10.1093/cid/cit578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fldChar w:fldCharType="end"/>
      </w:r>
    </w:p>
    <w:p w14:paraId="5C969C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>Chen, F. E., Lee, P. W., Trick, A. Y., Park, J. S., Chen, L., Shah, K., Mostafa, H., Carroll, K. C., Hsieh, K., &amp; Wang, T. H. (2021). Point-of-care CRISPR-Cas-assisted SARS-CoV-2 detection in an automated and portable droplet magnetofluidic device. </w:t>
      </w:r>
      <w:r>
        <w:rPr>
          <w:rFonts w:hint="default" w:ascii="Times New Roman" w:hAnsi="Times New Roman" w:eastAsia="Consolas" w:cs="Times New Roman"/>
          <w:i/>
          <w:iCs/>
          <w:caps w:val="0"/>
          <w:color w:val="1B1B1B"/>
          <w:spacing w:val="0"/>
          <w:sz w:val="24"/>
          <w:szCs w:val="24"/>
          <w:shd w:val="clear" w:fill="FFFFFF"/>
        </w:rPr>
        <w:t>Biosensors &amp; bioelectronics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Consolas" w:cs="Times New Roman"/>
          <w:i/>
          <w:iCs/>
          <w:caps w:val="0"/>
          <w:color w:val="1B1B1B"/>
          <w:spacing w:val="0"/>
          <w:sz w:val="24"/>
          <w:szCs w:val="24"/>
          <w:shd w:val="clear" w:fill="FFFFFF"/>
        </w:rPr>
        <w:t>190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 xml:space="preserve">, 113390.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instrText xml:space="preserve"> HYPERLINK "https://doi.org/10.1016/j.bios.2021.113390" </w:instrTex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https://doi.org/10.1016/j.bios.2021.113390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fldChar w:fldCharType="end"/>
      </w:r>
    </w:p>
    <w:p w14:paraId="1FC5A45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>Ramesh, M., Janani, R., Deepa, C., &amp; Rajeshkumar, L. (2022). Nanotechnology-Enabled Biosensors: A Review of Fundamentals, Design Principles, Materials, and Applications. </w:t>
      </w:r>
      <w:r>
        <w:rPr>
          <w:rFonts w:hint="default" w:ascii="Times New Roman" w:hAnsi="Times New Roman" w:eastAsia="Consolas" w:cs="Times New Roman"/>
          <w:i/>
          <w:iCs/>
          <w:caps w:val="0"/>
          <w:color w:val="1B1B1B"/>
          <w:spacing w:val="0"/>
          <w:sz w:val="24"/>
          <w:szCs w:val="24"/>
          <w:shd w:val="clear" w:fill="FFFFFF"/>
        </w:rPr>
        <w:t>Biosensors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Consolas" w:cs="Times New Roman"/>
          <w:i/>
          <w:iCs/>
          <w:caps w:val="0"/>
          <w:color w:val="1B1B1B"/>
          <w:spacing w:val="0"/>
          <w:sz w:val="24"/>
          <w:szCs w:val="24"/>
          <w:shd w:val="clear" w:fill="FFFFFF"/>
        </w:rPr>
        <w:t>13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t xml:space="preserve">(1), 40.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instrText xml:space="preserve"> HYPERLINK "https://doi.org/10.3390/bios13010040" </w:instrTex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https://doi.org/10.3390/bios13010040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B1B1B"/>
          <w:spacing w:val="0"/>
          <w:sz w:val="24"/>
          <w:szCs w:val="24"/>
          <w:shd w:val="clear" w:fill="FFFFFF"/>
        </w:rPr>
        <w:fldChar w:fldCharType="end"/>
      </w:r>
    </w:p>
    <w:p w14:paraId="2F110E2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</w:p>
    <w:p w14:paraId="75248CB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58C30"/>
    <w:multiLevelType w:val="singleLevel"/>
    <w:tmpl w:val="85B58C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C11AC"/>
    <w:rsid w:val="3C370893"/>
    <w:rsid w:val="4D0C11AC"/>
    <w:rsid w:val="709B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2025-11-03T07:52:00Z</dcterms:created>
  <dc:creator>fariha shafiq</dc:creator>
  <cp:lastModifiedBy>fariha shafiq</cp:lastModifiedBy>
  <dcterms:modified xsi:type="dcterms:W3CDTF">2025-11-25T09:56:25Z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7218B60AD1F34B329DE1DE3D967B8853_13</vt:lpwstr>
  </property>
</Properties>
</file>