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8DAA1">
      <w:pPr>
        <w:pStyle w:val="8"/>
        <w:keepNext w:val="0"/>
        <w:keepLines w:val="0"/>
        <w:widowControl/>
        <w:suppressLineNumbers w:val="0"/>
        <w:rPr>
          <w:rStyle w:val="9"/>
          <w:rFonts w:hint="default" w:ascii="Times New Roman" w:hAnsi="Times New Roman" w:cs="Times New Roman"/>
          <w:b w:val="0"/>
          <w:bCs w:val="0"/>
          <w:sz w:val="24"/>
          <w:szCs w:val="24"/>
        </w:rPr>
      </w:pPr>
      <w:bookmarkStart w:id="0" w:name="_GoBack"/>
      <w:bookmarkEnd w:id="0"/>
      <w:r>
        <w:rPr>
          <w:rStyle w:val="9"/>
          <w:sz w:val="28"/>
          <w:szCs w:val="28"/>
        </w:rPr>
        <w:t>Recent Advancements in Medical Biotechnology</w:t>
      </w:r>
    </w:p>
    <w:p w14:paraId="2304E4B1">
      <w:pPr>
        <w:numPr>
          <w:ilvl w:val="0"/>
          <w:numId w:val="1"/>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bCs/>
          <w:sz w:val="24"/>
          <w:szCs w:val="24"/>
        </w:rPr>
        <w:t>Introduction</w:t>
      </w:r>
      <w:r>
        <w:rPr>
          <w:rStyle w:val="9"/>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Medical biotechnology is a major branch of biotechnology that focuses on improving human health by developing techniques and diagnostic tools that provide significant benefits to patient care and overall well-being.</w:t>
      </w:r>
    </w:p>
    <w:p w14:paraId="386C879B">
      <w:pPr>
        <w:numPr>
          <w:ilvl w:val="0"/>
          <w:numId w:val="1"/>
        </w:numPr>
        <w:spacing w:line="360" w:lineRule="auto"/>
        <w:ind w:left="0" w:leftChars="0" w:firstLine="0" w:firstLineChars="0"/>
        <w:jc w:val="both"/>
        <w:rPr>
          <w:rStyle w:val="9"/>
          <w:rFonts w:hint="default" w:ascii="Times New Roman" w:hAnsi="Times New Roman" w:cs="Times New Roman"/>
          <w:b/>
          <w:bCs/>
          <w:sz w:val="24"/>
          <w:szCs w:val="24"/>
        </w:rPr>
      </w:pPr>
      <w:r>
        <w:rPr>
          <w:rStyle w:val="9"/>
          <w:rFonts w:hint="default" w:ascii="Times New Roman" w:hAnsi="Times New Roman" w:cs="Times New Roman"/>
          <w:b/>
          <w:bCs/>
          <w:sz w:val="24"/>
          <w:szCs w:val="24"/>
        </w:rPr>
        <w:t xml:space="preserve"> Recent Advances in Medical Biotechnology: Key Innovations and Trends</w:t>
      </w:r>
      <w:r>
        <w:rPr>
          <w:rStyle w:val="9"/>
          <w:rFonts w:hint="default" w:ascii="Times New Roman" w:hAnsi="Times New Roman" w:cs="Times New Roman"/>
          <w:b/>
          <w:bCs/>
          <w:sz w:val="24"/>
          <w:szCs w:val="24"/>
        </w:rPr>
        <w:br w:type="textWrapping"/>
      </w:r>
      <w:r>
        <w:rPr>
          <w:rStyle w:val="9"/>
          <w:rFonts w:hint="default" w:ascii="Times New Roman" w:hAnsi="Times New Roman" w:cs="Times New Roman"/>
          <w:b w:val="0"/>
          <w:bCs w:val="0"/>
          <w:sz w:val="24"/>
          <w:szCs w:val="24"/>
        </w:rPr>
        <w:t>Recent research has shown that medical biotechnology has made rapid progress, leading to the development of numerous therapeutics and diagnostic techniques. Some of the notable advances include biosensors, nanotechnology, and drug design, all of which are driving more precise and effective medical solutions.</w:t>
      </w:r>
    </w:p>
    <w:p w14:paraId="2F5BE2D8">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bCs/>
          <w:sz w:val="24"/>
          <w:szCs w:val="24"/>
        </w:rPr>
        <w:t>2.1 Diagnostics and Early Detection</w:t>
      </w:r>
      <w:r>
        <w:rPr>
          <w:rStyle w:val="9"/>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Medical biotechnology has revolutionized disease diagnosis through advanced molecular techniques, imaging, and biosensors, allowing for earlier and more accurate detection of diseases. This leads to timely interventions and improved patient outcomes (Odilibe, Anyanwu, et al., 2024).</w:t>
      </w:r>
    </w:p>
    <w:p w14:paraId="08B73874">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bCs/>
          <w:sz w:val="24"/>
          <w:szCs w:val="24"/>
        </w:rPr>
        <w:t>2.2 Personalized Medicine</w:t>
      </w:r>
      <w:r>
        <w:rPr>
          <w:rStyle w:val="9"/>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By leveraging genomics, bioinformatics, and genetic engineering, medical biotechnology enables tailored therapies based on individual genetic profiles, optimizing treatment effectiveness and minimizing side effects.</w:t>
      </w:r>
    </w:p>
    <w:p w14:paraId="3E3BFA40">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bCs/>
          <w:sz w:val="24"/>
          <w:szCs w:val="24"/>
        </w:rPr>
        <w:t>2.3 Therapeutics and Drug Development</w:t>
      </w:r>
      <w:r>
        <w:rPr>
          <w:rStyle w:val="9"/>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Innovations such as recombinant DNA technology, gene therapy, monoclonal antibodies, and stem cell therapy have produced new classes of drugs and treatments for previously untreatable conditions.</w:t>
      </w:r>
    </w:p>
    <w:p w14:paraId="0867CAB2">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bCs/>
          <w:sz w:val="24"/>
          <w:szCs w:val="24"/>
        </w:rPr>
        <w:t>2.4 Vaccine Development</w:t>
      </w:r>
      <w:r>
        <w:rPr>
          <w:rStyle w:val="9"/>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Medical biotechnology has accelerated the creation of novel vaccines, including mRNA and viral vector vaccines, which have been crucial in responding to global health crises (Sadee, W., Wang, D., Hartmann, K., &amp; Toland, A., 2023).</w:t>
      </w:r>
    </w:p>
    <w:p w14:paraId="1523D7B6">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bCs/>
          <w:sz w:val="24"/>
          <w:szCs w:val="24"/>
        </w:rPr>
        <w:t>2.5 Integration with Advanced Technologies</w:t>
      </w:r>
      <w:r>
        <w:rPr>
          <w:rStyle w:val="9"/>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The synergy between biotechnology, artificial intelligence, and data analytics is unlocking new strategies for disease management and healthcare delivery.</w:t>
      </w:r>
    </w:p>
    <w:p w14:paraId="466CCE17">
      <w:pPr>
        <w:numPr>
          <w:ilvl w:val="0"/>
          <w:numId w:val="0"/>
        </w:numPr>
        <w:spacing w:line="360" w:lineRule="auto"/>
        <w:jc w:val="both"/>
        <w:rPr>
          <w:rStyle w:val="9"/>
          <w:rFonts w:hint="default" w:ascii="Times New Roman" w:hAnsi="Times New Roman" w:cs="Times New Roman"/>
          <w:b w:val="0"/>
          <w:bCs w:val="0"/>
          <w:sz w:val="24"/>
          <w:szCs w:val="24"/>
        </w:rPr>
      </w:pPr>
    </w:p>
    <w:p w14:paraId="6190C3B3">
      <w:pPr>
        <w:numPr>
          <w:ilvl w:val="0"/>
          <w:numId w:val="0"/>
        </w:numPr>
        <w:spacing w:line="360" w:lineRule="auto"/>
        <w:jc w:val="both"/>
        <w:rPr>
          <w:rStyle w:val="9"/>
          <w:rFonts w:hint="default" w:ascii="Times New Roman" w:hAnsi="Times New Roman" w:cs="Times New Roman"/>
          <w:b w:val="0"/>
          <w:bCs w:val="0"/>
          <w:sz w:val="24"/>
          <w:szCs w:val="24"/>
        </w:rPr>
      </w:pPr>
    </w:p>
    <w:p w14:paraId="4E4CEB14">
      <w:pPr>
        <w:numPr>
          <w:ilvl w:val="0"/>
          <w:numId w:val="0"/>
        </w:numPr>
        <w:spacing w:line="360" w:lineRule="auto"/>
        <w:jc w:val="both"/>
        <w:rPr>
          <w:rStyle w:val="9"/>
          <w:rFonts w:hint="default" w:ascii="Times New Roman" w:hAnsi="Times New Roman" w:cs="Times New Roman"/>
          <w:b w:val="0"/>
          <w:bCs w:val="0"/>
          <w:sz w:val="24"/>
          <w:szCs w:val="24"/>
        </w:rPr>
      </w:pPr>
    </w:p>
    <w:p w14:paraId="4B9414E6">
      <w:pPr>
        <w:numPr>
          <w:ilvl w:val="0"/>
          <w:numId w:val="0"/>
        </w:numPr>
        <w:spacing w:line="360" w:lineRule="auto"/>
        <w:jc w:val="both"/>
        <w:rPr>
          <w:rStyle w:val="9"/>
          <w:rFonts w:hint="default" w:ascii="Times New Roman" w:hAnsi="Times New Roman" w:cs="Times New Roman"/>
          <w:b w:val="0"/>
          <w:bCs w:val="0"/>
          <w:sz w:val="24"/>
          <w:szCs w:val="24"/>
        </w:rPr>
      </w:pPr>
    </w:p>
    <w:p w14:paraId="36AF5376">
      <w:pPr>
        <w:numPr>
          <w:ilvl w:val="0"/>
          <w:numId w:val="0"/>
        </w:numPr>
        <w:spacing w:line="360" w:lineRule="auto"/>
        <w:jc w:val="both"/>
        <w:rPr>
          <w:rStyle w:val="9"/>
          <w:rFonts w:hint="default" w:ascii="Times New Roman" w:hAnsi="Times New Roman" w:cs="Times New Roman"/>
          <w:b/>
          <w:bCs/>
          <w:sz w:val="24"/>
          <w:szCs w:val="24"/>
        </w:rPr>
      </w:pPr>
      <w:r>
        <w:rPr>
          <w:rStyle w:val="9"/>
          <w:rFonts w:hint="default" w:ascii="Times New Roman" w:hAnsi="Times New Roman" w:cs="Times New Roman"/>
          <w:b/>
          <w:bCs/>
          <w:sz w:val="24"/>
          <w:szCs w:val="24"/>
        </w:rPr>
        <w:t>3. Table: Medical Biotechnology’s Impact within Biotechnology</w:t>
      </w:r>
    </w:p>
    <w:p w14:paraId="22B91D59">
      <w:pPr>
        <w:numPr>
          <w:ilvl w:val="0"/>
          <w:numId w:val="0"/>
        </w:numPr>
        <w:spacing w:line="360" w:lineRule="auto"/>
        <w:jc w:val="both"/>
        <w:rPr>
          <w:rStyle w:val="9"/>
          <w:rFonts w:hint="default" w:ascii="Times New Roman" w:hAnsi="Times New Roman" w:cs="Times New Roman"/>
          <w:b/>
          <w:bCs/>
          <w:sz w:val="24"/>
          <w:szCs w:val="24"/>
        </w:rPr>
      </w:pPr>
    </w:p>
    <w:tbl>
      <w:tblPr>
        <w:tblStyle w:val="5"/>
        <w:tblW w:w="9450" w:type="dxa"/>
        <w:tblCellSpacing w:w="15" w:type="dxa"/>
        <w:tblInd w:w="-50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8"/>
        <w:gridCol w:w="3429"/>
        <w:gridCol w:w="3563"/>
      </w:tblGrid>
      <w:tr w14:paraId="24380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413" w:type="dxa"/>
            <w:tcBorders>
              <w:top w:val="single" w:color="4F81BD" w:sz="8" w:space="0"/>
              <w:left w:val="single" w:color="4F81BD" w:sz="8" w:space="0"/>
              <w:bottom w:val="single" w:color="4F81BD" w:sz="8" w:space="0"/>
              <w:right w:val="single" w:color="4F81BD" w:sz="8" w:space="0"/>
            </w:tcBorders>
            <w:shd w:val="clear" w:color="auto" w:fill="E9EDF4"/>
            <w:vAlign w:val="center"/>
          </w:tcPr>
          <w:p w14:paraId="78BB84F8">
            <w:pPr>
              <w:numPr>
                <w:ilvl w:val="0"/>
                <w:numId w:val="0"/>
              </w:numPr>
              <w:spacing w:line="360" w:lineRule="auto"/>
              <w:jc w:val="both"/>
              <w:rPr>
                <w:rStyle w:val="9"/>
                <w:rFonts w:hint="default" w:ascii="Times New Roman" w:hAnsi="Times New Roman" w:cs="Times New Roman"/>
                <w:b w:val="0"/>
                <w:bCs w:val="0"/>
                <w:color w:val="000000"/>
                <w:sz w:val="24"/>
                <w:szCs w:val="24"/>
              </w:rPr>
            </w:pPr>
            <w:r>
              <w:rPr>
                <w:rStyle w:val="9"/>
                <w:rFonts w:hint="default" w:ascii="Times New Roman" w:hAnsi="Times New Roman" w:cs="Times New Roman"/>
                <w:b w:val="0"/>
                <w:bCs w:val="0"/>
                <w:color w:val="000000"/>
                <w:sz w:val="24"/>
                <w:szCs w:val="24"/>
                <w:lang w:val="en-US" w:eastAsia="zh-CN"/>
              </w:rPr>
              <w:t>Biotechnology Area</w:t>
            </w:r>
          </w:p>
        </w:tc>
        <w:tc>
          <w:tcPr>
            <w:tcW w:w="0" w:type="auto"/>
            <w:tcBorders>
              <w:top w:val="single" w:color="4F81BD" w:sz="8" w:space="0"/>
              <w:left w:val="single" w:color="4F81BD" w:sz="8" w:space="0"/>
              <w:bottom w:val="single" w:color="4F81BD" w:sz="8" w:space="0"/>
              <w:right w:val="single" w:color="4F81BD" w:sz="8" w:space="0"/>
            </w:tcBorders>
            <w:shd w:val="clear" w:color="auto" w:fill="E9EDF4"/>
            <w:vAlign w:val="center"/>
          </w:tcPr>
          <w:p w14:paraId="60065265">
            <w:pPr>
              <w:numPr>
                <w:ilvl w:val="0"/>
                <w:numId w:val="0"/>
              </w:numPr>
              <w:spacing w:line="360" w:lineRule="auto"/>
              <w:jc w:val="both"/>
              <w:rPr>
                <w:rStyle w:val="9"/>
                <w:rFonts w:hint="default" w:ascii="Times New Roman" w:hAnsi="Times New Roman" w:cs="Times New Roman"/>
                <w:b w:val="0"/>
                <w:bCs w:val="0"/>
                <w:color w:val="000000"/>
                <w:sz w:val="24"/>
                <w:szCs w:val="24"/>
              </w:rPr>
            </w:pPr>
            <w:r>
              <w:rPr>
                <w:rStyle w:val="9"/>
                <w:rFonts w:hint="default" w:ascii="Times New Roman" w:hAnsi="Times New Roman" w:cs="Times New Roman"/>
                <w:b w:val="0"/>
                <w:bCs w:val="0"/>
                <w:color w:val="000000"/>
                <w:sz w:val="24"/>
                <w:szCs w:val="24"/>
                <w:lang w:val="en-US" w:eastAsia="zh-CN"/>
              </w:rPr>
              <w:t>Applications in Medicine</w:t>
            </w:r>
          </w:p>
        </w:tc>
        <w:tc>
          <w:tcPr>
            <w:tcW w:w="3518" w:type="dxa"/>
            <w:tcBorders>
              <w:top w:val="single" w:color="4F81BD" w:sz="8" w:space="0"/>
              <w:left w:val="single" w:color="4F81BD" w:sz="8" w:space="0"/>
              <w:bottom w:val="single" w:color="4F81BD" w:sz="8" w:space="0"/>
              <w:right w:val="single" w:color="4F81BD" w:sz="8" w:space="0"/>
            </w:tcBorders>
            <w:shd w:val="clear" w:color="auto" w:fill="E9EDF4"/>
            <w:vAlign w:val="center"/>
          </w:tcPr>
          <w:p w14:paraId="1295D7DE">
            <w:pPr>
              <w:numPr>
                <w:ilvl w:val="0"/>
                <w:numId w:val="0"/>
              </w:numPr>
              <w:spacing w:line="360" w:lineRule="auto"/>
              <w:jc w:val="both"/>
              <w:rPr>
                <w:rStyle w:val="9"/>
                <w:rFonts w:hint="default" w:ascii="Times New Roman" w:hAnsi="Times New Roman" w:cs="Times New Roman"/>
                <w:b w:val="0"/>
                <w:bCs w:val="0"/>
                <w:color w:val="000000"/>
                <w:sz w:val="24"/>
                <w:szCs w:val="24"/>
              </w:rPr>
            </w:pPr>
            <w:r>
              <w:rPr>
                <w:rStyle w:val="9"/>
                <w:rFonts w:hint="default" w:ascii="Times New Roman" w:hAnsi="Times New Roman" w:cs="Times New Roman"/>
                <w:b w:val="0"/>
                <w:bCs w:val="0"/>
                <w:color w:val="000000"/>
                <w:sz w:val="24"/>
                <w:szCs w:val="24"/>
                <w:lang w:val="en-US" w:eastAsia="zh-CN"/>
              </w:rPr>
              <w:t>Transformative Impact</w:t>
            </w:r>
          </w:p>
        </w:tc>
      </w:tr>
      <w:tr w14:paraId="1E6B1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413" w:type="dxa"/>
            <w:shd w:val="clear" w:color="auto" w:fill="auto"/>
            <w:vAlign w:val="center"/>
          </w:tcPr>
          <w:p w14:paraId="4BDBD588">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Biosensors</w:t>
            </w:r>
          </w:p>
        </w:tc>
        <w:tc>
          <w:tcPr>
            <w:tcW w:w="0" w:type="auto"/>
            <w:shd w:val="clear" w:color="auto" w:fill="auto"/>
            <w:vAlign w:val="center"/>
          </w:tcPr>
          <w:p w14:paraId="2868573D">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Real-time disease detection, wearable health monitors, glucose sensors</w:t>
            </w:r>
          </w:p>
        </w:tc>
        <w:tc>
          <w:tcPr>
            <w:tcW w:w="3518" w:type="dxa"/>
            <w:shd w:val="clear" w:color="auto" w:fill="auto"/>
            <w:vAlign w:val="center"/>
          </w:tcPr>
          <w:p w14:paraId="0B0C59A3">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Enables early diagnosis, continuous monitoring, and personalized healthcare decisions</w:t>
            </w:r>
          </w:p>
        </w:tc>
      </w:tr>
      <w:tr w14:paraId="40FE0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413" w:type="dxa"/>
            <w:shd w:val="clear" w:color="auto" w:fill="auto"/>
            <w:vAlign w:val="center"/>
          </w:tcPr>
          <w:p w14:paraId="282CAEAF">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Nanotechnology</w:t>
            </w:r>
          </w:p>
        </w:tc>
        <w:tc>
          <w:tcPr>
            <w:tcW w:w="0" w:type="auto"/>
            <w:shd w:val="clear" w:color="auto" w:fill="auto"/>
            <w:vAlign w:val="center"/>
          </w:tcPr>
          <w:p w14:paraId="0CC58E09">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Targeted drug delivery, cancer therapy, imaging agents</w:t>
            </w:r>
          </w:p>
        </w:tc>
        <w:tc>
          <w:tcPr>
            <w:tcW w:w="3518" w:type="dxa"/>
            <w:shd w:val="clear" w:color="auto" w:fill="auto"/>
            <w:vAlign w:val="center"/>
          </w:tcPr>
          <w:p w14:paraId="5DD21FBD">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Increases treatment precision, minimizes side effects, and improves patient outcomes</w:t>
            </w:r>
          </w:p>
        </w:tc>
      </w:tr>
      <w:tr w14:paraId="000FA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13" w:type="dxa"/>
            <w:shd w:val="clear" w:color="auto" w:fill="auto"/>
            <w:vAlign w:val="center"/>
          </w:tcPr>
          <w:p w14:paraId="753F9402">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Drug Design &amp; Development</w:t>
            </w:r>
          </w:p>
        </w:tc>
        <w:tc>
          <w:tcPr>
            <w:tcW w:w="0" w:type="auto"/>
            <w:shd w:val="clear" w:color="auto" w:fill="auto"/>
            <w:vAlign w:val="center"/>
          </w:tcPr>
          <w:p w14:paraId="3AE683B2">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Rational drug design, computational modeling, advanced vaccines</w:t>
            </w:r>
          </w:p>
        </w:tc>
        <w:tc>
          <w:tcPr>
            <w:tcW w:w="3518" w:type="dxa"/>
            <w:shd w:val="clear" w:color="auto" w:fill="auto"/>
            <w:vAlign w:val="center"/>
          </w:tcPr>
          <w:p w14:paraId="078592FE">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Speeds up development of effective drugs, enables precision medicine, and reduces trial failures</w:t>
            </w:r>
          </w:p>
        </w:tc>
      </w:tr>
      <w:tr w14:paraId="592FD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413" w:type="dxa"/>
            <w:shd w:val="clear" w:color="auto" w:fill="auto"/>
            <w:vAlign w:val="center"/>
          </w:tcPr>
          <w:p w14:paraId="78AC1897">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Stem Cell Therapy</w:t>
            </w:r>
          </w:p>
        </w:tc>
        <w:tc>
          <w:tcPr>
            <w:tcW w:w="0" w:type="auto"/>
            <w:shd w:val="clear" w:color="auto" w:fill="auto"/>
            <w:vAlign w:val="center"/>
          </w:tcPr>
          <w:p w14:paraId="2468AEFE">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Regenerative medicine, tissue engineering, treatment for neurological, metabolic, and skin disorders</w:t>
            </w:r>
          </w:p>
        </w:tc>
        <w:tc>
          <w:tcPr>
            <w:tcW w:w="3518" w:type="dxa"/>
            <w:shd w:val="clear" w:color="auto" w:fill="auto"/>
            <w:vAlign w:val="center"/>
          </w:tcPr>
          <w:p w14:paraId="63375DBD">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Repairs damaged tissues, offers treatments for previously untreatable conditions</w:t>
            </w:r>
          </w:p>
        </w:tc>
      </w:tr>
      <w:tr w14:paraId="2C082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13" w:type="dxa"/>
            <w:shd w:val="clear" w:color="auto" w:fill="auto"/>
            <w:vAlign w:val="center"/>
          </w:tcPr>
          <w:p w14:paraId="6A200759">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Biomaterials for Drug Delivery</w:t>
            </w:r>
          </w:p>
        </w:tc>
        <w:tc>
          <w:tcPr>
            <w:tcW w:w="0" w:type="auto"/>
            <w:shd w:val="clear" w:color="auto" w:fill="auto"/>
            <w:vAlign w:val="center"/>
          </w:tcPr>
          <w:p w14:paraId="420A61BC">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RNA delivery, responsive materials, immunomodulation, cancer immunotherapy</w:t>
            </w:r>
          </w:p>
        </w:tc>
        <w:tc>
          <w:tcPr>
            <w:tcW w:w="3518" w:type="dxa"/>
            <w:shd w:val="clear" w:color="auto" w:fill="auto"/>
            <w:vAlign w:val="center"/>
          </w:tcPr>
          <w:p w14:paraId="394FF7BC">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Provides controlled and efficient drug delivery, enhances therapeutic success, lowers toxicity</w:t>
            </w:r>
          </w:p>
        </w:tc>
      </w:tr>
      <w:tr w14:paraId="57B7B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13" w:type="dxa"/>
            <w:shd w:val="clear" w:color="auto" w:fill="auto"/>
            <w:vAlign w:val="center"/>
          </w:tcPr>
          <w:p w14:paraId="07A7AFE8">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Gene &amp; Genome Editing</w:t>
            </w:r>
          </w:p>
        </w:tc>
        <w:tc>
          <w:tcPr>
            <w:tcW w:w="0" w:type="auto"/>
            <w:shd w:val="clear" w:color="auto" w:fill="auto"/>
            <w:vAlign w:val="center"/>
          </w:tcPr>
          <w:p w14:paraId="567088AF">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CRISPR, gene therapy, correction of genetic disorders</w:t>
            </w:r>
          </w:p>
        </w:tc>
        <w:tc>
          <w:tcPr>
            <w:tcW w:w="3518" w:type="dxa"/>
            <w:shd w:val="clear" w:color="auto" w:fill="auto"/>
            <w:vAlign w:val="center"/>
          </w:tcPr>
          <w:p w14:paraId="45504464">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Offers potential cures for genetic diseases, enabling personalized and curative therapies</w:t>
            </w:r>
          </w:p>
        </w:tc>
      </w:tr>
      <w:tr w14:paraId="1944C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413" w:type="dxa"/>
            <w:shd w:val="clear" w:color="auto" w:fill="auto"/>
            <w:vAlign w:val="center"/>
          </w:tcPr>
          <w:p w14:paraId="4583F6DA">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Immunotherapy</w:t>
            </w:r>
          </w:p>
        </w:tc>
        <w:tc>
          <w:tcPr>
            <w:tcW w:w="0" w:type="auto"/>
            <w:shd w:val="clear" w:color="auto" w:fill="auto"/>
            <w:vAlign w:val="center"/>
          </w:tcPr>
          <w:p w14:paraId="5CB74B41">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Cancer vaccines, checkpoint inhibitors, CAR-T therapy</w:t>
            </w:r>
          </w:p>
        </w:tc>
        <w:tc>
          <w:tcPr>
            <w:tcW w:w="3518" w:type="dxa"/>
            <w:shd w:val="clear" w:color="auto" w:fill="auto"/>
            <w:vAlign w:val="center"/>
          </w:tcPr>
          <w:p w14:paraId="60369F9C">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Harnesses the immune system to fight diseases, improves survival, and transforms cancer treatment</w:t>
            </w:r>
          </w:p>
        </w:tc>
      </w:tr>
      <w:tr w14:paraId="41344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13" w:type="dxa"/>
            <w:shd w:val="clear" w:color="auto" w:fill="auto"/>
            <w:vAlign w:val="center"/>
          </w:tcPr>
          <w:p w14:paraId="7083EDD7">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Diagnostics &amp; Molecular Tools</w:t>
            </w:r>
          </w:p>
        </w:tc>
        <w:tc>
          <w:tcPr>
            <w:tcW w:w="0" w:type="auto"/>
            <w:shd w:val="clear" w:color="auto" w:fill="auto"/>
            <w:vAlign w:val="center"/>
          </w:tcPr>
          <w:p w14:paraId="452BD381">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PCR, next-generation sequencing, molecular imaging</w:t>
            </w:r>
          </w:p>
        </w:tc>
        <w:tc>
          <w:tcPr>
            <w:tcW w:w="3518" w:type="dxa"/>
            <w:shd w:val="clear" w:color="auto" w:fill="auto"/>
            <w:vAlign w:val="center"/>
          </w:tcPr>
          <w:p w14:paraId="37E42056">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lang w:val="en-US" w:eastAsia="zh-CN"/>
              </w:rPr>
              <w:t>Enables precise, early diagnosis and tailored treatment strategies, improving outcomes</w:t>
            </w:r>
          </w:p>
        </w:tc>
      </w:tr>
    </w:tbl>
    <w:p w14:paraId="4523A250">
      <w:pPr>
        <w:numPr>
          <w:ilvl w:val="0"/>
          <w:numId w:val="0"/>
        </w:numPr>
        <w:spacing w:line="360" w:lineRule="auto"/>
        <w:jc w:val="both"/>
        <w:rPr>
          <w:rStyle w:val="9"/>
          <w:rFonts w:hint="default" w:ascii="Times New Roman" w:hAnsi="Times New Roman" w:cs="Times New Roman"/>
          <w:b w:val="0"/>
          <w:bCs w:val="0"/>
          <w:sz w:val="24"/>
          <w:szCs w:val="24"/>
        </w:rPr>
      </w:pPr>
    </w:p>
    <w:p w14:paraId="3CAF8B51">
      <w:pPr>
        <w:numPr>
          <w:ilvl w:val="0"/>
          <w:numId w:val="0"/>
        </w:numPr>
        <w:spacing w:line="360" w:lineRule="auto"/>
        <w:jc w:val="both"/>
        <w:rPr>
          <w:rStyle w:val="9"/>
          <w:rFonts w:hint="default" w:ascii="Times New Roman" w:hAnsi="Times New Roman" w:cs="Times New Roman"/>
          <w:b/>
          <w:bCs/>
          <w:sz w:val="24"/>
          <w:szCs w:val="24"/>
          <w:lang w:val="en-US"/>
        </w:rPr>
      </w:pPr>
      <w:r>
        <w:rPr>
          <w:rStyle w:val="9"/>
          <w:rFonts w:hint="default" w:ascii="Times New Roman" w:hAnsi="Times New Roman" w:cs="Times New Roman"/>
          <w:b w:val="0"/>
          <w:bCs w:val="0"/>
          <w:sz w:val="24"/>
          <w:szCs w:val="24"/>
          <w:lang w:val="en-US"/>
        </w:rPr>
        <w:t xml:space="preserve">Table </w:t>
      </w:r>
      <w:r>
        <w:rPr>
          <w:rStyle w:val="9"/>
          <w:rFonts w:hint="default" w:ascii="Times New Roman" w:hAnsi="Times New Roman" w:cs="Times New Roman"/>
          <w:b w:val="0"/>
          <w:bCs w:val="0"/>
          <w:sz w:val="24"/>
          <w:szCs w:val="24"/>
        </w:rPr>
        <w:t>1: Table summarizing medical biotechnology’s key roles in biotechnology.</w:t>
      </w:r>
    </w:p>
    <w:p w14:paraId="7245EC75">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bCs/>
          <w:sz w:val="24"/>
          <w:szCs w:val="24"/>
          <w:lang w:val="en-US"/>
        </w:rPr>
        <w:t>4.</w:t>
      </w:r>
      <w:r>
        <w:rPr>
          <w:rStyle w:val="9"/>
          <w:rFonts w:hint="default" w:ascii="Times New Roman" w:hAnsi="Times New Roman" w:cs="Times New Roman"/>
          <w:b/>
          <w:bCs/>
          <w:sz w:val="24"/>
          <w:szCs w:val="24"/>
        </w:rPr>
        <w:t xml:space="preserve"> Advances in Biomaterials for Drug Delivery</w:t>
      </w:r>
      <w:r>
        <w:rPr>
          <w:rStyle w:val="9"/>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International multidisciplinary collaborations have enabled physical scientists, engineers, biologists, and clinicians to develop innovative strategies and materials to treat a wide range of diseases. Specifically, recent advances include major breakthroughs in materials for cancer immunotherapy, autoimmune diseases, and genome editing. This work reviews strategies for the design and implementation of biomaterials for drug delivery. A brief history of the biomaterials field is first established, followed by commentary on RNA delivery, the development of responsive materials, and immunomodulation. Current challenges in these areas, as well as opportunities to address long-standing problems in biology and medicine, are discussed throughout (Fenton et al., 2018).</w:t>
      </w:r>
    </w:p>
    <w:p w14:paraId="19DCC1BE">
      <w:pPr>
        <w:numPr>
          <w:ilvl w:val="0"/>
          <w:numId w:val="0"/>
        </w:numPr>
        <w:spacing w:line="360" w:lineRule="auto"/>
        <w:jc w:val="both"/>
        <w:rPr>
          <w:rStyle w:val="9"/>
          <w:rFonts w:hint="default" w:ascii="Times New Roman" w:hAnsi="Times New Roman" w:cs="Times New Roman"/>
          <w:b w:val="0"/>
          <w:bCs w:val="0"/>
          <w:sz w:val="24"/>
          <w:szCs w:val="24"/>
        </w:rPr>
      </w:pPr>
      <w:r>
        <w:rPr>
          <w:rStyle w:val="9"/>
          <w:rFonts w:hint="default" w:ascii="Times New Roman" w:hAnsi="Times New Roman" w:cs="Times New Roman"/>
          <w:b/>
          <w:bCs/>
          <w:sz w:val="24"/>
          <w:szCs w:val="24"/>
          <w:lang w:val="en-US"/>
        </w:rPr>
        <w:t>5</w:t>
      </w:r>
      <w:r>
        <w:rPr>
          <w:rStyle w:val="9"/>
          <w:rFonts w:hint="default" w:ascii="Times New Roman" w:hAnsi="Times New Roman" w:cs="Times New Roman"/>
          <w:b/>
          <w:bCs/>
          <w:sz w:val="24"/>
          <w:szCs w:val="24"/>
        </w:rPr>
        <w:t>. Stem Cell-Based Therapy</w:t>
      </w:r>
      <w:r>
        <w:rPr>
          <w:rStyle w:val="9"/>
          <w:rFonts w:hint="default" w:ascii="Times New Roman" w:hAnsi="Times New Roman" w:cs="Times New Roman"/>
          <w:b/>
          <w:bCs/>
          <w:sz w:val="24"/>
          <w:szCs w:val="24"/>
        </w:rPr>
        <w:br w:type="textWrapping"/>
      </w:r>
      <w:r>
        <w:rPr>
          <w:rStyle w:val="9"/>
          <w:rFonts w:hint="default" w:ascii="Times New Roman" w:hAnsi="Times New Roman" w:cs="Times New Roman"/>
          <w:b w:val="0"/>
          <w:bCs w:val="0"/>
          <w:sz w:val="24"/>
          <w:szCs w:val="24"/>
        </w:rPr>
        <w:t>Stem cell-based therapies, utilizing human pluripotent stem cells and multipotent mesenchymal stem cells, show great promise in treating a variety of human diseases. These include neurological disorders.</w:t>
      </w:r>
    </w:p>
    <w:p w14:paraId="372E64C0">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Stem cells are unique cells with the remarkable ability to develop into different cell types in the body. They are broadly categorized into three types</w:t>
      </w:r>
    </w:p>
    <w:p w14:paraId="14FFBFFA">
      <w:pPr>
        <w:numPr>
          <w:ilvl w:val="0"/>
          <w:numId w:val="2"/>
        </w:numPr>
        <w:spacing w:line="360" w:lineRule="auto"/>
        <w:ind w:left="420" w:leftChars="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embryonic stem cells (ESCs)</w:t>
      </w:r>
      <w:r>
        <w:rPr>
          <w:rFonts w:hint="default" w:ascii="Times New Roman" w:hAnsi="Times New Roman" w:cs="Times New Roman"/>
          <w:sz w:val="24"/>
          <w:szCs w:val="24"/>
        </w:rPr>
        <w:t>, derived from early-stage embryos and capable of differentiating into almost any cell type</w:t>
      </w:r>
    </w:p>
    <w:p w14:paraId="69A035CB">
      <w:pPr>
        <w:numPr>
          <w:ilvl w:val="0"/>
          <w:numId w:val="2"/>
        </w:numPr>
        <w:spacing w:line="360" w:lineRule="auto"/>
        <w:ind w:left="420" w:leftChars="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adult stem cells</w:t>
      </w:r>
      <w:r>
        <w:rPr>
          <w:rFonts w:hint="default" w:ascii="Times New Roman" w:hAnsi="Times New Roman" w:cs="Times New Roman"/>
          <w:sz w:val="24"/>
          <w:szCs w:val="24"/>
        </w:rPr>
        <w:t>, found in tissues such as bone marrow or fat, which are more limited in their differentiation potential</w:t>
      </w:r>
    </w:p>
    <w:p w14:paraId="71FC69BE">
      <w:pPr>
        <w:numPr>
          <w:ilvl w:val="0"/>
          <w:numId w:val="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induced pluripotent stem cells (iPSCs)</w:t>
      </w:r>
      <w:r>
        <w:rPr>
          <w:rFonts w:hint="default" w:ascii="Times New Roman" w:hAnsi="Times New Roman" w:cs="Times New Roman"/>
          <w:sz w:val="24"/>
          <w:szCs w:val="24"/>
        </w:rPr>
        <w:t>, which are adult cells reprogrammed to regain embryonic-like pluripotency (Takahashi &amp; Yamanaka, 2006). Each type offers distinct opportunities for research and therapy while posing unique challenges.</w:t>
      </w:r>
    </w:p>
    <w:p w14:paraId="1BB013FA">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In </w:t>
      </w:r>
      <w:r>
        <w:rPr>
          <w:rStyle w:val="9"/>
          <w:rFonts w:hint="default" w:ascii="Times New Roman" w:hAnsi="Times New Roman" w:cs="Times New Roman"/>
          <w:sz w:val="24"/>
          <w:szCs w:val="24"/>
        </w:rPr>
        <w:t>tissue regeneration</w:t>
      </w:r>
      <w:r>
        <w:rPr>
          <w:rFonts w:hint="default" w:ascii="Times New Roman" w:hAnsi="Times New Roman" w:cs="Times New Roman"/>
          <w:sz w:val="24"/>
          <w:szCs w:val="24"/>
        </w:rPr>
        <w:t xml:space="preserve">, they can repair damaged organs, such as regenerating cardiac tissue after a heart attack, restoring liver function in cirrhosis, or replacing neurons lost in neurodegenerative conditions (Trounson &amp; McDonald, 2015). Stem cells are also being explored for the </w:t>
      </w:r>
      <w:r>
        <w:rPr>
          <w:rStyle w:val="9"/>
          <w:rFonts w:hint="default" w:ascii="Times New Roman" w:hAnsi="Times New Roman" w:cs="Times New Roman"/>
          <w:sz w:val="24"/>
          <w:szCs w:val="24"/>
        </w:rPr>
        <w:t>treatment of degenerative diseases</w:t>
      </w:r>
      <w:r>
        <w:rPr>
          <w:rFonts w:hint="default" w:ascii="Times New Roman" w:hAnsi="Times New Roman" w:cs="Times New Roman"/>
          <w:sz w:val="24"/>
          <w:szCs w:val="24"/>
        </w:rPr>
        <w:t>. For instance, iPSC-derived dopaminergic neurons are being studied as a potential therapy for Parkinson’s disease, while pancreatic beta-like cells generated from stem cells offer hope for type 1 diabetes management (Zhao et al., 2020).</w:t>
      </w:r>
    </w:p>
    <w:p w14:paraId="795AEABB">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Recent advances have further expanded the possibilities of regenerative medicine. </w:t>
      </w:r>
    </w:p>
    <w:p w14:paraId="640CEB1E">
      <w:pPr>
        <w:pStyle w:val="8"/>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3D bioprinting</w:t>
      </w:r>
      <w:r>
        <w:rPr>
          <w:rFonts w:hint="default" w:ascii="Times New Roman" w:hAnsi="Times New Roman" w:cs="Times New Roman"/>
          <w:sz w:val="24"/>
          <w:szCs w:val="24"/>
        </w:rPr>
        <w:t xml:space="preserve"> allows the creation of tissue-like structures by layering stem cells within biomaterials, paving the way for building complex tissues and potentially organs.</w:t>
      </w:r>
    </w:p>
    <w:p w14:paraId="351B5905">
      <w:pPr>
        <w:pStyle w:val="8"/>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organoids</w:t>
      </w:r>
      <w:r>
        <w:rPr>
          <w:rFonts w:hint="default" w:ascii="Times New Roman" w:hAnsi="Times New Roman" w:cs="Times New Roman"/>
          <w:sz w:val="24"/>
          <w:szCs w:val="24"/>
        </w:rPr>
        <w:t>, miniature organ models grown from stem cells, provide a powerful tool for drug testing and studying disease mechanisms in a patient-specific manner (Lancaster &amp; Knoblich, 2014).</w:t>
      </w:r>
    </w:p>
    <w:p w14:paraId="3A156C20">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Despite these breakthroughs, </w:t>
      </w:r>
      <w:r>
        <w:rPr>
          <w:rStyle w:val="9"/>
          <w:rFonts w:hint="default" w:ascii="Times New Roman" w:hAnsi="Times New Roman" w:cs="Times New Roman"/>
          <w:sz w:val="24"/>
          <w:szCs w:val="24"/>
        </w:rPr>
        <w:t>ethical considerations</w:t>
      </w:r>
      <w:r>
        <w:rPr>
          <w:rFonts w:hint="default" w:ascii="Times New Roman" w:hAnsi="Times New Roman" w:cs="Times New Roman"/>
          <w:sz w:val="24"/>
          <w:szCs w:val="24"/>
        </w:rPr>
        <w:t xml:space="preserve"> remain crucial, particularly regarding embryonic stem cells. Concerns revolve around the moral status of embryos and the need to balance scientific progress with ethical responsibility. iPSCs help mitigate some ethical issues, as they do not require embryos, yet challenges related to safety, tumorigenicity, and long-term integration remain. Ensuring transparent, regulated, and ethically guided research is therefore essential for translating stem cell therapies from bench to bedside (Hyun, 2010).</w:t>
      </w:r>
    </w:p>
    <w:p w14:paraId="05516CA3">
      <w:pPr>
        <w:pStyle w:val="8"/>
        <w:keepNext w:val="0"/>
        <w:keepLines w:val="0"/>
        <w:widowControl/>
        <w:numPr>
          <w:numId w:val="0"/>
        </w:numPr>
        <w:suppressLineNumbers w:val="0"/>
        <w:spacing w:line="360" w:lineRule="auto"/>
        <w:ind w:right="0" w:rightChars="0"/>
        <w:jc w:val="both"/>
        <w:rPr>
          <w:rFonts w:hint="default" w:ascii="Times New Roman" w:hAnsi="Times New Roman" w:cs="Times New Roman"/>
          <w:b/>
          <w:bCs/>
        </w:rPr>
      </w:pPr>
      <w:r>
        <w:rPr>
          <w:rFonts w:hint="default" w:cs="Times New Roman"/>
          <w:b/>
          <w:bCs/>
          <w:lang w:val="en-US"/>
        </w:rPr>
        <w:t>6.</w:t>
      </w:r>
      <w:r>
        <w:rPr>
          <w:rFonts w:hint="default" w:ascii="Times New Roman" w:hAnsi="Times New Roman" w:cs="Times New Roman"/>
          <w:b/>
          <w:bCs/>
          <w:lang w:val="en-US"/>
        </w:rPr>
        <w:t xml:space="preserve"> </w:t>
      </w:r>
      <w:r>
        <w:rPr>
          <w:rFonts w:hint="default" w:ascii="Times New Roman" w:hAnsi="Times New Roman" w:cs="Times New Roman"/>
          <w:b/>
          <w:bCs/>
        </w:rPr>
        <w:t>Diagnostic Innovations</w:t>
      </w:r>
    </w:p>
    <w:p w14:paraId="1530047F">
      <w:pPr>
        <w:pStyle w:val="8"/>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 Molecular diagnostics form the cornerstone of modern detection techniques. Polymerase Chain Reaction (PCR) and Reverse Transcription PCR (RT-PCR) allow the amplification of specific DNA and RNA sequences, making them highly sensitive tools for identifying infectious agents such as SARS-CoV-2 and influenza viruses (Caliendo et al., 2013). More recently, CRISPR-based diagnostics have emerged, leveraging the precision of CRISPR-Cas systems to detect nucleic acids with high specificity. (Joung et al., 2020).</w:t>
      </w:r>
    </w:p>
    <w:p w14:paraId="59C6800D">
      <w:pPr>
        <w:pStyle w:val="8"/>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b/>
          <w:bCs/>
        </w:rPr>
        <w:t>Point-of-care (POC) devices</w:t>
      </w:r>
      <w:r>
        <w:rPr>
          <w:rFonts w:hint="default" w:ascii="Times New Roman" w:hAnsi="Times New Roman" w:cs="Times New Roman"/>
        </w:rPr>
        <w:t xml:space="preserve"> have revolutionized accessibility by enabling rapid detection of infections outside traditional laboratory settings. These portable tools, widely used for diseases such as COVID-19, HIV, and influenza, provide near-immediate results, allowing timely clinical decisions and reducing the need for centralized laboratory infrastructure. Their user-friendly design ensures that even minimally trained personnel can operate them, improving public health outcomes in resource-limited areas.</w:t>
      </w:r>
    </w:p>
    <w:p w14:paraId="7B8A34C6">
      <w:pPr>
        <w:pStyle w:val="8"/>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b/>
          <w:bCs/>
        </w:rPr>
        <w:t>Biosensors,</w:t>
      </w:r>
      <w:r>
        <w:rPr>
          <w:rFonts w:hint="default" w:ascii="Times New Roman" w:hAnsi="Times New Roman" w:cs="Times New Roman"/>
        </w:rPr>
        <w:t xml:space="preserve"> particularly those incorporating nanotechnology, offer real-time monitoring of biomarkers, pathogens, or physiological changes. Nanoscale sensors increase surface area and sensitivity, allowing detection of minute concentrations of analytes. These biosensors provide continuous monitoring capabilities, which are crucial for managing chronic conditions and detecting early signs of infection or disease progression (Patel et al., 2021).</w:t>
      </w:r>
    </w:p>
    <w:p w14:paraId="43B6A042">
      <w:pPr>
        <w:pStyle w:val="8"/>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eastAsia="Consolas" w:cs="Times New Roman"/>
          <w:i w:val="0"/>
          <w:iCs w:val="0"/>
          <w:caps w:val="0"/>
          <w:color w:val="1B1B1B"/>
          <w:spacing w:val="0"/>
          <w:sz w:val="24"/>
          <w:szCs w:val="24"/>
          <w:shd w:val="clear" w:fill="FFFFFF"/>
        </w:rPr>
      </w:pPr>
      <w:r>
        <w:rPr>
          <w:rFonts w:hint="default" w:ascii="Times New Roman" w:hAnsi="Times New Roman" w:cs="Times New Roman"/>
          <w:b/>
          <w:bCs/>
        </w:rPr>
        <w:t>Liquid biopsy</w:t>
      </w:r>
      <w:r>
        <w:rPr>
          <w:rFonts w:hint="default" w:ascii="Times New Roman" w:hAnsi="Times New Roman" w:cs="Times New Roman"/>
        </w:rPr>
        <w:t xml:space="preserve"> represents another significant innovation in diagnostics, particularly for oncology. By analyzing circulating tumor DNA (ctDNA) from blood samples, clinicians can detect cancers non-invasively, monitor treatment responses, and identify emerging resistance mutations. This approach reduces the need for invasive tissue biopsies, minimizing patient discomfort while providing actionable clinical data</w:t>
      </w:r>
    </w:p>
    <w:p w14:paraId="66AC30D3">
      <w:pPr>
        <w:pStyle w:val="8"/>
        <w:keepNext w:val="0"/>
        <w:keepLines w:val="0"/>
        <w:widowControl/>
        <w:suppressLineNumbers w:val="0"/>
        <w:spacing w:line="360" w:lineRule="auto"/>
        <w:jc w:val="both"/>
        <w:rPr>
          <w:rFonts w:hint="default" w:ascii="Times New Roman" w:hAnsi="Times New Roman" w:cs="Times New Roman"/>
          <w:sz w:val="24"/>
          <w:szCs w:val="24"/>
          <w:highlight w:val="none"/>
          <w:lang w:val="en-US"/>
        </w:rPr>
      </w:pPr>
      <w:r>
        <w:rPr>
          <w:rStyle w:val="9"/>
          <w:rFonts w:hint="default" w:ascii="Times New Roman" w:hAnsi="Times New Roman" w:cs="Times New Roman"/>
          <w:sz w:val="24"/>
          <w:szCs w:val="24"/>
        </w:rPr>
        <w:t>Reference</w:t>
      </w:r>
      <w:r>
        <w:rPr>
          <w:rStyle w:val="9"/>
          <w:rFonts w:hint="default" w:ascii="Times New Roman" w:hAnsi="Times New Roman" w:cs="Times New Roman"/>
          <w:sz w:val="24"/>
          <w:szCs w:val="24"/>
          <w:lang w:val="en-US"/>
        </w:rPr>
        <w:t>s</w:t>
      </w:r>
    </w:p>
    <w:p w14:paraId="06B887F7">
      <w:pPr>
        <w:numPr>
          <w:ilvl w:val="0"/>
          <w:numId w:val="4"/>
        </w:numPr>
        <w:spacing w:line="360" w:lineRule="auto"/>
        <w:ind w:left="425" w:leftChars="0" w:hanging="425" w:firstLineChars="0"/>
        <w:jc w:val="both"/>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rPr>
        <w:t>Fenton, O., Olafson, K., Pillai, P., Mitchell, M., &amp; Langer, R. (2018). Advances in Biomaterials for Drug Delivery. Advanced Materials, 30. </w:t>
      </w:r>
      <w:r>
        <w:rPr>
          <w:rFonts w:hint="default" w:ascii="Times New Roman" w:hAnsi="Times New Roman" w:cs="Times New Roman"/>
          <w:sz w:val="24"/>
          <w:szCs w:val="24"/>
          <w:highlight w:val="none"/>
          <w:lang w:val="en-US"/>
        </w:rPr>
        <w:fldChar w:fldCharType="begin"/>
      </w:r>
      <w:r>
        <w:rPr>
          <w:rFonts w:hint="default" w:ascii="Times New Roman" w:hAnsi="Times New Roman" w:cs="Times New Roman"/>
          <w:sz w:val="24"/>
          <w:szCs w:val="24"/>
          <w:highlight w:val="none"/>
          <w:lang w:val="en-US"/>
        </w:rPr>
        <w:instrText xml:space="preserve"> HYPERLINK "https://doi.org/10.1002/adma.201705328." </w:instrText>
      </w:r>
      <w:r>
        <w:rPr>
          <w:rFonts w:hint="default" w:ascii="Times New Roman" w:hAnsi="Times New Roman" w:cs="Times New Roman"/>
          <w:sz w:val="24"/>
          <w:szCs w:val="24"/>
          <w:highlight w:val="none"/>
          <w:lang w:val="en-US"/>
        </w:rPr>
        <w:fldChar w:fldCharType="separate"/>
      </w:r>
      <w:r>
        <w:rPr>
          <w:rStyle w:val="7"/>
          <w:rFonts w:hint="default" w:ascii="Times New Roman" w:hAnsi="Times New Roman" w:cs="Times New Roman"/>
          <w:sz w:val="24"/>
          <w:szCs w:val="24"/>
          <w:highlight w:val="none"/>
          <w:lang w:val="en-US"/>
        </w:rPr>
        <w:t>https://doi.org/10.1002/adma.201705328.</w:t>
      </w:r>
      <w:r>
        <w:rPr>
          <w:rFonts w:hint="default" w:ascii="Times New Roman" w:hAnsi="Times New Roman" w:cs="Times New Roman"/>
          <w:sz w:val="24"/>
          <w:szCs w:val="24"/>
          <w:highlight w:val="none"/>
          <w:lang w:val="en-US"/>
        </w:rPr>
        <w:fldChar w:fldCharType="end"/>
      </w:r>
    </w:p>
    <w:p w14:paraId="7FBAA4ED">
      <w:pPr>
        <w:numPr>
          <w:ilvl w:val="0"/>
          <w:numId w:val="4"/>
        </w:numPr>
        <w:spacing w:line="360" w:lineRule="auto"/>
        <w:ind w:left="425" w:leftChars="0" w:hanging="425" w:firstLineChars="0"/>
        <w:jc w:val="both"/>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rPr>
        <w:t>Hoang, D., Pham, P., Bach, T., Ngo, A., Nguyen, Q., Phan, T., Nguyen, G., Le, P., Hoang, V., Forsyth, N., Heke, M., &amp; Nguyen, L. (2022). Stem cell-based therapy for human diseases. Signal Transduction and Targeted Therapy, . </w:t>
      </w:r>
      <w:r>
        <w:rPr>
          <w:rFonts w:hint="default" w:ascii="Times New Roman" w:hAnsi="Times New Roman" w:cs="Times New Roman"/>
          <w:sz w:val="24"/>
          <w:szCs w:val="24"/>
          <w:highlight w:val="none"/>
          <w:lang w:val="en-US"/>
        </w:rPr>
        <w:fldChar w:fldCharType="begin"/>
      </w:r>
      <w:r>
        <w:rPr>
          <w:rFonts w:hint="default" w:ascii="Times New Roman" w:hAnsi="Times New Roman" w:cs="Times New Roman"/>
          <w:sz w:val="24"/>
          <w:szCs w:val="24"/>
          <w:highlight w:val="none"/>
          <w:lang w:val="en-US"/>
        </w:rPr>
        <w:instrText xml:space="preserve"> HYPERLINK "https://doi.org/10.1038/s41392-022-01134-4." </w:instrText>
      </w:r>
      <w:r>
        <w:rPr>
          <w:rFonts w:hint="default" w:ascii="Times New Roman" w:hAnsi="Times New Roman" w:cs="Times New Roman"/>
          <w:sz w:val="24"/>
          <w:szCs w:val="24"/>
          <w:highlight w:val="none"/>
          <w:lang w:val="en-US"/>
        </w:rPr>
        <w:fldChar w:fldCharType="separate"/>
      </w:r>
      <w:r>
        <w:rPr>
          <w:rStyle w:val="7"/>
          <w:rFonts w:hint="default" w:ascii="Times New Roman" w:hAnsi="Times New Roman" w:cs="Times New Roman"/>
          <w:sz w:val="24"/>
          <w:szCs w:val="24"/>
          <w:highlight w:val="none"/>
          <w:lang w:val="en-US"/>
        </w:rPr>
        <w:t>https://doi.org/10.1038/s41392-022-01134-4.</w:t>
      </w:r>
      <w:r>
        <w:rPr>
          <w:rFonts w:hint="default" w:ascii="Times New Roman" w:hAnsi="Times New Roman" w:cs="Times New Roman"/>
          <w:sz w:val="24"/>
          <w:szCs w:val="24"/>
          <w:highlight w:val="none"/>
          <w:lang w:val="en-US"/>
        </w:rPr>
        <w:fldChar w:fldCharType="end"/>
      </w:r>
    </w:p>
    <w:p w14:paraId="2D143F8F">
      <w:pPr>
        <w:numPr>
          <w:ilvl w:val="0"/>
          <w:numId w:val="4"/>
        </w:numPr>
        <w:spacing w:line="360" w:lineRule="auto"/>
        <w:ind w:left="425" w:leftChars="0" w:hanging="425" w:firstLineChars="0"/>
        <w:jc w:val="both"/>
        <w:rPr>
          <w:rFonts w:hint="default" w:ascii="Times New Roman" w:hAnsi="Times New Roman" w:cs="Times New Roman"/>
          <w:sz w:val="24"/>
          <w:szCs w:val="24"/>
          <w:highlight w:val="none"/>
          <w:lang w:val="en-US"/>
        </w:rPr>
      </w:pPr>
      <w:r>
        <w:rPr>
          <w:rFonts w:hint="default" w:ascii="Times New Roman" w:hAnsi="Times New Roman" w:cs="Times New Roman"/>
          <w:b w:val="0"/>
          <w:bCs w:val="0"/>
          <w:sz w:val="24"/>
          <w:szCs w:val="24"/>
          <w:highlight w:val="none"/>
          <w:lang w:val="en-US"/>
        </w:rPr>
        <w:t xml:space="preserve">Odilibe, I., Anyanwu, E., Arowoogun, J., Akomolafe, O., Onwumere, C., &amp; Ogugua, J. (2024). The role of biotechnology in healthcare: A review of global trends. World Journal of Advanced Research and Reviews. </w:t>
      </w:r>
      <w:r>
        <w:rPr>
          <w:rFonts w:hint="default" w:ascii="Times New Roman" w:hAnsi="Times New Roman" w:cs="Times New Roman"/>
          <w:b w:val="0"/>
          <w:bCs w:val="0"/>
          <w:sz w:val="24"/>
          <w:szCs w:val="24"/>
          <w:highlight w:val="none"/>
          <w:lang w:val="en-US"/>
        </w:rPr>
        <w:fldChar w:fldCharType="begin"/>
      </w:r>
      <w:r>
        <w:rPr>
          <w:rFonts w:hint="default" w:ascii="Times New Roman" w:hAnsi="Times New Roman" w:cs="Times New Roman"/>
          <w:b w:val="0"/>
          <w:bCs w:val="0"/>
          <w:sz w:val="24"/>
          <w:szCs w:val="24"/>
          <w:highlight w:val="none"/>
          <w:lang w:val="en-US"/>
        </w:rPr>
        <w:instrText xml:space="preserve"> HYPERLINK "https://doi.org/10.30574/wjarr.2024.21.1.0382" </w:instrText>
      </w:r>
      <w:r>
        <w:rPr>
          <w:rFonts w:hint="default" w:ascii="Times New Roman" w:hAnsi="Times New Roman" w:cs="Times New Roman"/>
          <w:b w:val="0"/>
          <w:bCs w:val="0"/>
          <w:sz w:val="24"/>
          <w:szCs w:val="24"/>
          <w:highlight w:val="none"/>
          <w:lang w:val="en-US"/>
        </w:rPr>
        <w:fldChar w:fldCharType="separate"/>
      </w:r>
      <w:r>
        <w:rPr>
          <w:rStyle w:val="7"/>
          <w:rFonts w:hint="default" w:ascii="Times New Roman" w:hAnsi="Times New Roman" w:cs="Times New Roman"/>
          <w:b w:val="0"/>
          <w:bCs w:val="0"/>
          <w:sz w:val="24"/>
          <w:szCs w:val="24"/>
          <w:highlight w:val="none"/>
          <w:lang w:val="en-US"/>
        </w:rPr>
        <w:t>https://doi.org/10.30574/wjarr.2024.21.1.0382</w:t>
      </w:r>
      <w:r>
        <w:rPr>
          <w:rFonts w:hint="default" w:ascii="Times New Roman" w:hAnsi="Times New Roman" w:cs="Times New Roman"/>
          <w:b w:val="0"/>
          <w:bCs w:val="0"/>
          <w:sz w:val="24"/>
          <w:szCs w:val="24"/>
          <w:highlight w:val="none"/>
          <w:lang w:val="en-US"/>
        </w:rPr>
        <w:fldChar w:fldCharType="end"/>
      </w:r>
    </w:p>
    <w:p w14:paraId="50970BED">
      <w:pPr>
        <w:numPr>
          <w:ilvl w:val="0"/>
          <w:numId w:val="4"/>
        </w:numPr>
        <w:spacing w:line="360" w:lineRule="auto"/>
        <w:ind w:left="425" w:leftChars="0" w:hanging="425" w:firstLineChars="0"/>
        <w:jc w:val="both"/>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rPr>
        <w:t xml:space="preserve">Sadee, W., Wang, D., Hartmann, K., &amp; Toland, A. (2023). Pharmacogenomics: Driving Personalized Medicine. Pharmacological Reviews, 75, 789 - 814. </w:t>
      </w:r>
      <w:r>
        <w:rPr>
          <w:rFonts w:hint="default" w:ascii="Times New Roman" w:hAnsi="Times New Roman" w:cs="Times New Roman"/>
          <w:sz w:val="24"/>
          <w:szCs w:val="24"/>
          <w:highlight w:val="none"/>
          <w:lang w:val="en-US"/>
        </w:rPr>
        <w:fldChar w:fldCharType="begin"/>
      </w:r>
      <w:r>
        <w:rPr>
          <w:rFonts w:hint="default" w:ascii="Times New Roman" w:hAnsi="Times New Roman" w:cs="Times New Roman"/>
          <w:sz w:val="24"/>
          <w:szCs w:val="24"/>
          <w:highlight w:val="none"/>
          <w:lang w:val="en-US"/>
        </w:rPr>
        <w:instrText xml:space="preserve"> HYPERLINK "https://doi.org/10.1124/pharmrev.122.000810." </w:instrText>
      </w:r>
      <w:r>
        <w:rPr>
          <w:rFonts w:hint="default" w:ascii="Times New Roman" w:hAnsi="Times New Roman" w:cs="Times New Roman"/>
          <w:sz w:val="24"/>
          <w:szCs w:val="24"/>
          <w:highlight w:val="none"/>
          <w:lang w:val="en-US"/>
        </w:rPr>
        <w:fldChar w:fldCharType="separate"/>
      </w:r>
      <w:r>
        <w:rPr>
          <w:rStyle w:val="7"/>
          <w:rFonts w:hint="default" w:ascii="Times New Roman" w:hAnsi="Times New Roman" w:cs="Times New Roman"/>
          <w:sz w:val="24"/>
          <w:szCs w:val="24"/>
          <w:highlight w:val="none"/>
          <w:lang w:val="en-US"/>
        </w:rPr>
        <w:t>https://doi.org/10.1124/pharmrev.122.000810.</w:t>
      </w:r>
      <w:r>
        <w:rPr>
          <w:rFonts w:hint="default" w:ascii="Times New Roman" w:hAnsi="Times New Roman" w:cs="Times New Roman"/>
          <w:sz w:val="24"/>
          <w:szCs w:val="24"/>
          <w:highlight w:val="none"/>
          <w:lang w:val="en-US"/>
        </w:rPr>
        <w:fldChar w:fldCharType="end"/>
      </w:r>
    </w:p>
    <w:p w14:paraId="621E79D6">
      <w:pPr>
        <w:pStyle w:val="8"/>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Hyun I. (2010). The bioethics of stem cell research and therapy. The Journal of clinical investigation, 120(1), 71–75.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"https://doi.org/10.1172/JCI40435"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https://doi.org/10.1172/JCI40435</w:t>
      </w:r>
      <w:r>
        <w:rPr>
          <w:rFonts w:hint="default" w:ascii="Times New Roman" w:hAnsi="Times New Roman" w:cs="Times New Roman"/>
          <w:sz w:val="24"/>
          <w:szCs w:val="24"/>
        </w:rPr>
        <w:fldChar w:fldCharType="end"/>
      </w:r>
    </w:p>
    <w:p w14:paraId="355813F5">
      <w:pPr>
        <w:pStyle w:val="8"/>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eastAsia="Segoe UI" w:cs="Times New Roman"/>
          <w:i w:val="0"/>
          <w:iCs w:val="0"/>
          <w:caps w:val="0"/>
          <w:color w:val="212121"/>
          <w:spacing w:val="0"/>
          <w:sz w:val="24"/>
          <w:szCs w:val="24"/>
          <w:shd w:val="clear" w:fill="FFFFFF"/>
        </w:rPr>
      </w:pPr>
      <w:r>
        <w:rPr>
          <w:rFonts w:hint="default" w:ascii="Times New Roman" w:hAnsi="Times New Roman" w:eastAsia="Segoe UI" w:cs="Times New Roman"/>
          <w:i w:val="0"/>
          <w:iCs w:val="0"/>
          <w:caps w:val="0"/>
          <w:color w:val="212121"/>
          <w:spacing w:val="0"/>
          <w:sz w:val="24"/>
          <w:szCs w:val="24"/>
          <w:shd w:val="clear" w:fill="FFFFFF"/>
        </w:rPr>
        <w:t>Lancaster, M. A., &amp; Knoblich, J. A. (2014). Organogenesis in a dish: modeling development and disease using organoid technologies. </w:t>
      </w:r>
      <w:r>
        <w:rPr>
          <w:rFonts w:hint="default" w:ascii="Times New Roman" w:hAnsi="Times New Roman" w:eastAsia="Segoe UI" w:cs="Times New Roman"/>
          <w:i/>
          <w:iCs/>
          <w:caps w:val="0"/>
          <w:color w:val="212121"/>
          <w:spacing w:val="0"/>
          <w:sz w:val="24"/>
          <w:szCs w:val="24"/>
          <w:shd w:val="clear" w:fill="FFFFFF"/>
        </w:rPr>
        <w:t>Science (New York, N.Y.)</w:t>
      </w:r>
      <w:r>
        <w:rPr>
          <w:rFonts w:hint="default" w:ascii="Times New Roman" w:hAnsi="Times New Roman" w:eastAsia="Segoe UI" w:cs="Times New Roman"/>
          <w:i w:val="0"/>
          <w:iCs w:val="0"/>
          <w:caps w:val="0"/>
          <w:color w:val="212121"/>
          <w:spacing w:val="0"/>
          <w:sz w:val="24"/>
          <w:szCs w:val="24"/>
          <w:shd w:val="clear" w:fill="FFFFFF"/>
        </w:rPr>
        <w:t>, </w:t>
      </w:r>
      <w:r>
        <w:rPr>
          <w:rFonts w:hint="default" w:ascii="Times New Roman" w:hAnsi="Times New Roman" w:eastAsia="Segoe UI" w:cs="Times New Roman"/>
          <w:i/>
          <w:iCs/>
          <w:caps w:val="0"/>
          <w:color w:val="212121"/>
          <w:spacing w:val="0"/>
          <w:sz w:val="24"/>
          <w:szCs w:val="24"/>
          <w:shd w:val="clear" w:fill="FFFFFF"/>
        </w:rPr>
        <w:t>345</w:t>
      </w:r>
      <w:r>
        <w:rPr>
          <w:rFonts w:hint="default" w:ascii="Times New Roman" w:hAnsi="Times New Roman" w:eastAsia="Segoe UI" w:cs="Times New Roman"/>
          <w:i w:val="0"/>
          <w:iCs w:val="0"/>
          <w:caps w:val="0"/>
          <w:color w:val="212121"/>
          <w:spacing w:val="0"/>
          <w:sz w:val="24"/>
          <w:szCs w:val="24"/>
          <w:shd w:val="clear" w:fill="FFFFFF"/>
        </w:rPr>
        <w:t xml:space="preserve">(6194), 1247125. </w:t>
      </w:r>
      <w:r>
        <w:rPr>
          <w:rFonts w:hint="default" w:ascii="Times New Roman" w:hAnsi="Times New Roman" w:eastAsia="Segoe UI" w:cs="Times New Roman"/>
          <w:i w:val="0"/>
          <w:iCs w:val="0"/>
          <w:caps w:val="0"/>
          <w:color w:val="212121"/>
          <w:spacing w:val="0"/>
          <w:sz w:val="24"/>
          <w:szCs w:val="24"/>
          <w:shd w:val="clear" w:fill="FFFFFF"/>
        </w:rPr>
        <w:fldChar w:fldCharType="begin"/>
      </w:r>
      <w:r>
        <w:rPr>
          <w:rFonts w:hint="default" w:ascii="Times New Roman" w:hAnsi="Times New Roman" w:eastAsia="Segoe UI" w:cs="Times New Roman"/>
          <w:i w:val="0"/>
          <w:iCs w:val="0"/>
          <w:caps w:val="0"/>
          <w:color w:val="212121"/>
          <w:spacing w:val="0"/>
          <w:sz w:val="24"/>
          <w:szCs w:val="24"/>
          <w:shd w:val="clear" w:fill="FFFFFF"/>
        </w:rPr>
        <w:instrText xml:space="preserve"> HYPERLINK "https://doi.org/10.1126/science.1247125" </w:instrText>
      </w:r>
      <w:r>
        <w:rPr>
          <w:rFonts w:hint="default" w:ascii="Times New Roman" w:hAnsi="Times New Roman" w:eastAsia="Segoe UI" w:cs="Times New Roman"/>
          <w:i w:val="0"/>
          <w:iCs w:val="0"/>
          <w:caps w:val="0"/>
          <w:color w:val="212121"/>
          <w:spacing w:val="0"/>
          <w:sz w:val="24"/>
          <w:szCs w:val="24"/>
          <w:shd w:val="clear" w:fill="FFFFFF"/>
        </w:rPr>
        <w:fldChar w:fldCharType="separate"/>
      </w:r>
      <w:r>
        <w:rPr>
          <w:rStyle w:val="7"/>
          <w:rFonts w:hint="default" w:ascii="Times New Roman" w:hAnsi="Times New Roman" w:eastAsia="Segoe UI" w:cs="Times New Roman"/>
          <w:i w:val="0"/>
          <w:iCs w:val="0"/>
          <w:caps w:val="0"/>
          <w:spacing w:val="0"/>
          <w:sz w:val="24"/>
          <w:szCs w:val="24"/>
          <w:shd w:val="clear" w:fill="FFFFFF"/>
        </w:rPr>
        <w:t>https://doi.org/10.1126/science.1247125</w:t>
      </w:r>
      <w:r>
        <w:rPr>
          <w:rFonts w:hint="default" w:ascii="Times New Roman" w:hAnsi="Times New Roman" w:eastAsia="Segoe UI" w:cs="Times New Roman"/>
          <w:i w:val="0"/>
          <w:iCs w:val="0"/>
          <w:caps w:val="0"/>
          <w:color w:val="212121"/>
          <w:spacing w:val="0"/>
          <w:sz w:val="24"/>
          <w:szCs w:val="24"/>
          <w:shd w:val="clear" w:fill="FFFFFF"/>
        </w:rPr>
        <w:fldChar w:fldCharType="end"/>
      </w:r>
    </w:p>
    <w:p w14:paraId="7D27DA95">
      <w:pPr>
        <w:pStyle w:val="8"/>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212121"/>
          <w:spacing w:val="0"/>
          <w:sz w:val="24"/>
          <w:szCs w:val="24"/>
          <w:shd w:val="clear" w:fill="FFFFFF"/>
        </w:rPr>
        <w:t>Takahashi, K., &amp; Yamanaka, S. (2006). Induction of pluripotent stem cells from mouse embryonic and adult fibroblast cultures by defined factors. </w:t>
      </w:r>
      <w:r>
        <w:rPr>
          <w:rFonts w:hint="default" w:ascii="Times New Roman" w:hAnsi="Times New Roman" w:eastAsia="Segoe UI" w:cs="Times New Roman"/>
          <w:i/>
          <w:iCs/>
          <w:caps w:val="0"/>
          <w:color w:val="212121"/>
          <w:spacing w:val="0"/>
          <w:sz w:val="24"/>
          <w:szCs w:val="24"/>
          <w:shd w:val="clear" w:fill="FFFFFF"/>
        </w:rPr>
        <w:t>Cell</w:t>
      </w:r>
      <w:r>
        <w:rPr>
          <w:rFonts w:hint="default" w:ascii="Times New Roman" w:hAnsi="Times New Roman" w:eastAsia="Segoe UI" w:cs="Times New Roman"/>
          <w:i w:val="0"/>
          <w:iCs w:val="0"/>
          <w:caps w:val="0"/>
          <w:color w:val="212121"/>
          <w:spacing w:val="0"/>
          <w:sz w:val="24"/>
          <w:szCs w:val="24"/>
          <w:shd w:val="clear" w:fill="FFFFFF"/>
        </w:rPr>
        <w:t>, </w:t>
      </w:r>
      <w:r>
        <w:rPr>
          <w:rFonts w:hint="default" w:ascii="Times New Roman" w:hAnsi="Times New Roman" w:eastAsia="Segoe UI" w:cs="Times New Roman"/>
          <w:i/>
          <w:iCs/>
          <w:caps w:val="0"/>
          <w:color w:val="212121"/>
          <w:spacing w:val="0"/>
          <w:sz w:val="24"/>
          <w:szCs w:val="24"/>
          <w:shd w:val="clear" w:fill="FFFFFF"/>
        </w:rPr>
        <w:t>126</w:t>
      </w:r>
      <w:r>
        <w:rPr>
          <w:rFonts w:hint="default" w:ascii="Times New Roman" w:hAnsi="Times New Roman" w:eastAsia="Segoe UI" w:cs="Times New Roman"/>
          <w:i w:val="0"/>
          <w:iCs w:val="0"/>
          <w:caps w:val="0"/>
          <w:color w:val="212121"/>
          <w:spacing w:val="0"/>
          <w:sz w:val="24"/>
          <w:szCs w:val="24"/>
          <w:shd w:val="clear" w:fill="FFFFFF"/>
        </w:rPr>
        <w:t xml:space="preserve">(4), 663–676. </w:t>
      </w:r>
      <w:r>
        <w:rPr>
          <w:rFonts w:hint="default" w:ascii="Times New Roman" w:hAnsi="Times New Roman" w:eastAsia="Segoe UI" w:cs="Times New Roman"/>
          <w:i w:val="0"/>
          <w:iCs w:val="0"/>
          <w:caps w:val="0"/>
          <w:color w:val="212121"/>
          <w:spacing w:val="0"/>
          <w:sz w:val="24"/>
          <w:szCs w:val="24"/>
          <w:shd w:val="clear" w:fill="FFFFFF"/>
        </w:rPr>
        <w:fldChar w:fldCharType="begin"/>
      </w:r>
      <w:r>
        <w:rPr>
          <w:rFonts w:hint="default" w:ascii="Times New Roman" w:hAnsi="Times New Roman" w:eastAsia="Segoe UI" w:cs="Times New Roman"/>
          <w:i w:val="0"/>
          <w:iCs w:val="0"/>
          <w:caps w:val="0"/>
          <w:color w:val="212121"/>
          <w:spacing w:val="0"/>
          <w:sz w:val="24"/>
          <w:szCs w:val="24"/>
          <w:shd w:val="clear" w:fill="FFFFFF"/>
        </w:rPr>
        <w:instrText xml:space="preserve"> HYPERLINK "https://doi.org/10.1016/j.cell.2006.07.024" </w:instrText>
      </w:r>
      <w:r>
        <w:rPr>
          <w:rFonts w:hint="default" w:ascii="Times New Roman" w:hAnsi="Times New Roman" w:eastAsia="Segoe UI" w:cs="Times New Roman"/>
          <w:i w:val="0"/>
          <w:iCs w:val="0"/>
          <w:caps w:val="0"/>
          <w:color w:val="212121"/>
          <w:spacing w:val="0"/>
          <w:sz w:val="24"/>
          <w:szCs w:val="24"/>
          <w:shd w:val="clear" w:fill="FFFFFF"/>
        </w:rPr>
        <w:fldChar w:fldCharType="separate"/>
      </w:r>
      <w:r>
        <w:rPr>
          <w:rStyle w:val="7"/>
          <w:rFonts w:hint="default" w:ascii="Times New Roman" w:hAnsi="Times New Roman" w:eastAsia="Segoe UI" w:cs="Times New Roman"/>
          <w:i w:val="0"/>
          <w:iCs w:val="0"/>
          <w:caps w:val="0"/>
          <w:spacing w:val="0"/>
          <w:sz w:val="24"/>
          <w:szCs w:val="24"/>
          <w:shd w:val="clear" w:fill="FFFFFF"/>
        </w:rPr>
        <w:t>https://doi.org/10.1016/j.cell.2006.07.024</w:t>
      </w:r>
      <w:r>
        <w:rPr>
          <w:rFonts w:hint="default" w:ascii="Times New Roman" w:hAnsi="Times New Roman" w:eastAsia="Segoe UI" w:cs="Times New Roman"/>
          <w:i w:val="0"/>
          <w:iCs w:val="0"/>
          <w:caps w:val="0"/>
          <w:color w:val="212121"/>
          <w:spacing w:val="0"/>
          <w:sz w:val="24"/>
          <w:szCs w:val="24"/>
          <w:shd w:val="clear" w:fill="FFFFFF"/>
        </w:rPr>
        <w:fldChar w:fldCharType="end"/>
      </w:r>
    </w:p>
    <w:p w14:paraId="0F1CCE05">
      <w:pPr>
        <w:pStyle w:val="8"/>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212121"/>
          <w:spacing w:val="0"/>
          <w:sz w:val="24"/>
          <w:szCs w:val="24"/>
          <w:shd w:val="clear" w:fill="FFFFFF"/>
        </w:rPr>
        <w:t>Trounson, A., &amp; McDonald, C. (2015). Stem Cell Therapies in Clinical Trials: Progress and Challenges. </w:t>
      </w:r>
      <w:r>
        <w:rPr>
          <w:rFonts w:hint="default" w:ascii="Times New Roman" w:hAnsi="Times New Roman" w:eastAsia="Segoe UI" w:cs="Times New Roman"/>
          <w:i/>
          <w:iCs/>
          <w:caps w:val="0"/>
          <w:color w:val="212121"/>
          <w:spacing w:val="0"/>
          <w:sz w:val="24"/>
          <w:szCs w:val="24"/>
          <w:shd w:val="clear" w:fill="FFFFFF"/>
        </w:rPr>
        <w:t>Cell stem cell</w:t>
      </w:r>
      <w:r>
        <w:rPr>
          <w:rFonts w:hint="default" w:ascii="Times New Roman" w:hAnsi="Times New Roman" w:eastAsia="Segoe UI" w:cs="Times New Roman"/>
          <w:i w:val="0"/>
          <w:iCs w:val="0"/>
          <w:caps w:val="0"/>
          <w:color w:val="212121"/>
          <w:spacing w:val="0"/>
          <w:sz w:val="24"/>
          <w:szCs w:val="24"/>
          <w:shd w:val="clear" w:fill="FFFFFF"/>
        </w:rPr>
        <w:t>, </w:t>
      </w:r>
      <w:r>
        <w:rPr>
          <w:rFonts w:hint="default" w:ascii="Times New Roman" w:hAnsi="Times New Roman" w:eastAsia="Segoe UI" w:cs="Times New Roman"/>
          <w:i/>
          <w:iCs/>
          <w:caps w:val="0"/>
          <w:color w:val="212121"/>
          <w:spacing w:val="0"/>
          <w:sz w:val="24"/>
          <w:szCs w:val="24"/>
          <w:shd w:val="clear" w:fill="FFFFFF"/>
        </w:rPr>
        <w:t>17</w:t>
      </w:r>
      <w:r>
        <w:rPr>
          <w:rFonts w:hint="default" w:ascii="Times New Roman" w:hAnsi="Times New Roman" w:eastAsia="Segoe UI" w:cs="Times New Roman"/>
          <w:i w:val="0"/>
          <w:iCs w:val="0"/>
          <w:caps w:val="0"/>
          <w:color w:val="212121"/>
          <w:spacing w:val="0"/>
          <w:sz w:val="24"/>
          <w:szCs w:val="24"/>
          <w:shd w:val="clear" w:fill="FFFFFF"/>
        </w:rPr>
        <w:t xml:space="preserve">(1), 11–22. </w:t>
      </w:r>
      <w:r>
        <w:rPr>
          <w:rFonts w:hint="default" w:ascii="Times New Roman" w:hAnsi="Times New Roman" w:eastAsia="Segoe UI" w:cs="Times New Roman"/>
          <w:i w:val="0"/>
          <w:iCs w:val="0"/>
          <w:caps w:val="0"/>
          <w:color w:val="212121"/>
          <w:spacing w:val="0"/>
          <w:sz w:val="24"/>
          <w:szCs w:val="24"/>
          <w:shd w:val="clear" w:fill="FFFFFF"/>
        </w:rPr>
        <w:fldChar w:fldCharType="begin"/>
      </w:r>
      <w:r>
        <w:rPr>
          <w:rFonts w:hint="default" w:ascii="Times New Roman" w:hAnsi="Times New Roman" w:eastAsia="Segoe UI" w:cs="Times New Roman"/>
          <w:i w:val="0"/>
          <w:iCs w:val="0"/>
          <w:caps w:val="0"/>
          <w:color w:val="212121"/>
          <w:spacing w:val="0"/>
          <w:sz w:val="24"/>
          <w:szCs w:val="24"/>
          <w:shd w:val="clear" w:fill="FFFFFF"/>
        </w:rPr>
        <w:instrText xml:space="preserve"> HYPERLINK "https://doi.org/10.1016/j.stem.2015.06.007" </w:instrText>
      </w:r>
      <w:r>
        <w:rPr>
          <w:rFonts w:hint="default" w:ascii="Times New Roman" w:hAnsi="Times New Roman" w:eastAsia="Segoe UI" w:cs="Times New Roman"/>
          <w:i w:val="0"/>
          <w:iCs w:val="0"/>
          <w:caps w:val="0"/>
          <w:color w:val="212121"/>
          <w:spacing w:val="0"/>
          <w:sz w:val="24"/>
          <w:szCs w:val="24"/>
          <w:shd w:val="clear" w:fill="FFFFFF"/>
        </w:rPr>
        <w:fldChar w:fldCharType="separate"/>
      </w:r>
      <w:r>
        <w:rPr>
          <w:rStyle w:val="7"/>
          <w:rFonts w:hint="default" w:ascii="Times New Roman" w:hAnsi="Times New Roman" w:eastAsia="Segoe UI" w:cs="Times New Roman"/>
          <w:i w:val="0"/>
          <w:iCs w:val="0"/>
          <w:caps w:val="0"/>
          <w:spacing w:val="0"/>
          <w:sz w:val="24"/>
          <w:szCs w:val="24"/>
          <w:shd w:val="clear" w:fill="FFFFFF"/>
        </w:rPr>
        <w:t>https://doi.org/10.1016/j.stem.2015.06.007</w:t>
      </w:r>
      <w:r>
        <w:rPr>
          <w:rFonts w:hint="default" w:ascii="Times New Roman" w:hAnsi="Times New Roman" w:eastAsia="Segoe UI" w:cs="Times New Roman"/>
          <w:i w:val="0"/>
          <w:iCs w:val="0"/>
          <w:caps w:val="0"/>
          <w:color w:val="212121"/>
          <w:spacing w:val="0"/>
          <w:sz w:val="24"/>
          <w:szCs w:val="24"/>
          <w:shd w:val="clear" w:fill="FFFFFF"/>
        </w:rPr>
        <w:fldChar w:fldCharType="end"/>
      </w:r>
    </w:p>
    <w:p w14:paraId="0659A5C1">
      <w:pPr>
        <w:numPr>
          <w:ilvl w:val="0"/>
          <w:numId w:val="4"/>
        </w:numPr>
        <w:spacing w:line="360" w:lineRule="auto"/>
        <w:ind w:left="425" w:leftChars="0" w:hanging="425" w:firstLineChars="0"/>
        <w:jc w:val="both"/>
        <w:rPr>
          <w:rFonts w:hint="default" w:ascii="Times New Roman" w:hAnsi="Times New Roman" w:eastAsia="Segoe UI" w:cs="Times New Roman"/>
          <w:i w:val="0"/>
          <w:iCs w:val="0"/>
          <w:caps w:val="0"/>
          <w:color w:val="212121"/>
          <w:spacing w:val="0"/>
          <w:sz w:val="24"/>
          <w:szCs w:val="24"/>
          <w:shd w:val="clear" w:fill="FFFFFF"/>
        </w:rPr>
      </w:pPr>
      <w:r>
        <w:rPr>
          <w:rFonts w:hint="default" w:ascii="Times New Roman" w:hAnsi="Times New Roman" w:eastAsia="Segoe UI" w:cs="Times New Roman"/>
          <w:i w:val="0"/>
          <w:iCs w:val="0"/>
          <w:caps w:val="0"/>
          <w:color w:val="212121"/>
          <w:spacing w:val="0"/>
          <w:sz w:val="24"/>
          <w:szCs w:val="24"/>
          <w:shd w:val="clear" w:fill="FFFFFF"/>
        </w:rPr>
        <w:t>Parmar, M., Grealish, S., &amp; Henchcliffe, C. (2020). The future of stem cell therapies for Parkinson disease. </w:t>
      </w:r>
      <w:r>
        <w:rPr>
          <w:rFonts w:hint="default" w:ascii="Times New Roman" w:hAnsi="Times New Roman" w:eastAsia="Segoe UI" w:cs="Times New Roman"/>
          <w:i/>
          <w:iCs/>
          <w:caps w:val="0"/>
          <w:color w:val="212121"/>
          <w:spacing w:val="0"/>
          <w:sz w:val="24"/>
          <w:szCs w:val="24"/>
          <w:shd w:val="clear" w:fill="FFFFFF"/>
        </w:rPr>
        <w:t>Nature reviews. Neuroscience</w:t>
      </w:r>
      <w:r>
        <w:rPr>
          <w:rFonts w:hint="default" w:ascii="Times New Roman" w:hAnsi="Times New Roman" w:eastAsia="Segoe UI" w:cs="Times New Roman"/>
          <w:i w:val="0"/>
          <w:iCs w:val="0"/>
          <w:caps w:val="0"/>
          <w:color w:val="212121"/>
          <w:spacing w:val="0"/>
          <w:sz w:val="24"/>
          <w:szCs w:val="24"/>
          <w:shd w:val="clear" w:fill="FFFFFF"/>
        </w:rPr>
        <w:t>, </w:t>
      </w:r>
      <w:r>
        <w:rPr>
          <w:rFonts w:hint="default" w:ascii="Times New Roman" w:hAnsi="Times New Roman" w:eastAsia="Segoe UI" w:cs="Times New Roman"/>
          <w:i/>
          <w:iCs/>
          <w:caps w:val="0"/>
          <w:color w:val="212121"/>
          <w:spacing w:val="0"/>
          <w:sz w:val="24"/>
          <w:szCs w:val="24"/>
          <w:shd w:val="clear" w:fill="FFFFFF"/>
        </w:rPr>
        <w:t>21</w:t>
      </w:r>
      <w:r>
        <w:rPr>
          <w:rFonts w:hint="default" w:ascii="Times New Roman" w:hAnsi="Times New Roman" w:eastAsia="Segoe UI" w:cs="Times New Roman"/>
          <w:i w:val="0"/>
          <w:iCs w:val="0"/>
          <w:caps w:val="0"/>
          <w:color w:val="212121"/>
          <w:spacing w:val="0"/>
          <w:sz w:val="24"/>
          <w:szCs w:val="24"/>
          <w:shd w:val="clear" w:fill="FFFFFF"/>
        </w:rPr>
        <w:t xml:space="preserve">(2), 103–115. </w:t>
      </w:r>
      <w:r>
        <w:rPr>
          <w:rFonts w:hint="default" w:ascii="Times New Roman" w:hAnsi="Times New Roman" w:eastAsia="Segoe UI" w:cs="Times New Roman"/>
          <w:i w:val="0"/>
          <w:iCs w:val="0"/>
          <w:caps w:val="0"/>
          <w:color w:val="212121"/>
          <w:spacing w:val="0"/>
          <w:sz w:val="24"/>
          <w:szCs w:val="24"/>
          <w:shd w:val="clear" w:fill="FFFFFF"/>
        </w:rPr>
        <w:fldChar w:fldCharType="begin"/>
      </w:r>
      <w:r>
        <w:rPr>
          <w:rFonts w:hint="default" w:ascii="Times New Roman" w:hAnsi="Times New Roman" w:eastAsia="Segoe UI" w:cs="Times New Roman"/>
          <w:i w:val="0"/>
          <w:iCs w:val="0"/>
          <w:caps w:val="0"/>
          <w:color w:val="212121"/>
          <w:spacing w:val="0"/>
          <w:sz w:val="24"/>
          <w:szCs w:val="24"/>
          <w:shd w:val="clear" w:fill="FFFFFF"/>
        </w:rPr>
        <w:instrText xml:space="preserve"> HYPERLINK "https://doi.org/10.1038/s41583-019-0257-7" </w:instrText>
      </w:r>
      <w:r>
        <w:rPr>
          <w:rFonts w:hint="default" w:ascii="Times New Roman" w:hAnsi="Times New Roman" w:eastAsia="Segoe UI" w:cs="Times New Roman"/>
          <w:i w:val="0"/>
          <w:iCs w:val="0"/>
          <w:caps w:val="0"/>
          <w:color w:val="212121"/>
          <w:spacing w:val="0"/>
          <w:sz w:val="24"/>
          <w:szCs w:val="24"/>
          <w:shd w:val="clear" w:fill="FFFFFF"/>
        </w:rPr>
        <w:fldChar w:fldCharType="separate"/>
      </w:r>
      <w:r>
        <w:rPr>
          <w:rStyle w:val="7"/>
          <w:rFonts w:hint="default" w:ascii="Times New Roman" w:hAnsi="Times New Roman" w:eastAsia="Segoe UI" w:cs="Times New Roman"/>
          <w:i w:val="0"/>
          <w:iCs w:val="0"/>
          <w:caps w:val="0"/>
          <w:spacing w:val="0"/>
          <w:sz w:val="24"/>
          <w:szCs w:val="24"/>
          <w:shd w:val="clear" w:fill="FFFFFF"/>
        </w:rPr>
        <w:t>https://doi.org/10.1038/s41583-019-0257-7</w:t>
      </w:r>
      <w:r>
        <w:rPr>
          <w:rFonts w:hint="default" w:ascii="Times New Roman" w:hAnsi="Times New Roman" w:eastAsia="Segoe UI" w:cs="Times New Roman"/>
          <w:i w:val="0"/>
          <w:iCs w:val="0"/>
          <w:caps w:val="0"/>
          <w:color w:val="212121"/>
          <w:spacing w:val="0"/>
          <w:sz w:val="24"/>
          <w:szCs w:val="24"/>
          <w:shd w:val="clear" w:fill="FFFFFF"/>
        </w:rPr>
        <w:fldChar w:fldCharType="end"/>
      </w:r>
    </w:p>
    <w:p w14:paraId="5750AB42">
      <w:pPr>
        <w:pStyle w:val="8"/>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eastAsia="Segoe UI" w:cs="Times New Roman"/>
          <w:i w:val="0"/>
          <w:iCs w:val="0"/>
          <w:caps w:val="0"/>
          <w:color w:val="212121"/>
          <w:spacing w:val="0"/>
          <w:sz w:val="24"/>
          <w:szCs w:val="24"/>
          <w:shd w:val="clear" w:fill="FFFFFF"/>
        </w:rPr>
      </w:pPr>
      <w:r>
        <w:rPr>
          <w:rFonts w:hint="default" w:ascii="Times New Roman" w:hAnsi="Times New Roman" w:eastAsia="Segoe UI" w:cs="Times New Roman"/>
          <w:i w:val="0"/>
          <w:iCs w:val="0"/>
          <w:caps w:val="0"/>
          <w:color w:val="212121"/>
          <w:spacing w:val="0"/>
          <w:sz w:val="24"/>
          <w:szCs w:val="24"/>
          <w:shd w:val="clear" w:fill="FFFFFF"/>
        </w:rPr>
        <w:t>Caliendo, A. M., Gilbert, D. N., Ginocchio, C. C., Hanson, K. E., May, L., Quinn, T. C., Tenover, F. C., Alland, D., Blaschke, A. J., Bonomo, R. A., Carroll, K. C., Ferraro, M. J., Hirschhorn, L. R., Joseph, W. P., Karchmer, T., MacIntyre, A. T., Reller, L. B., Jackson, A. F., &amp; Infectious Diseases Society of America (IDSA) (2013). Better tests, better care: improved diagnostics for infectious diseases. </w:t>
      </w:r>
      <w:r>
        <w:rPr>
          <w:rFonts w:hint="default" w:ascii="Times New Roman" w:hAnsi="Times New Roman" w:eastAsia="Segoe UI" w:cs="Times New Roman"/>
          <w:i/>
          <w:iCs/>
          <w:caps w:val="0"/>
          <w:color w:val="212121"/>
          <w:spacing w:val="0"/>
          <w:sz w:val="24"/>
          <w:szCs w:val="24"/>
          <w:shd w:val="clear" w:fill="FFFFFF"/>
        </w:rPr>
        <w:t>Clinical infectious diseases : an official publication of the Infectious Diseases Society of America</w:t>
      </w:r>
      <w:r>
        <w:rPr>
          <w:rFonts w:hint="default" w:ascii="Times New Roman" w:hAnsi="Times New Roman" w:eastAsia="Segoe UI" w:cs="Times New Roman"/>
          <w:i w:val="0"/>
          <w:iCs w:val="0"/>
          <w:caps w:val="0"/>
          <w:color w:val="212121"/>
          <w:spacing w:val="0"/>
          <w:sz w:val="24"/>
          <w:szCs w:val="24"/>
          <w:shd w:val="clear" w:fill="FFFFFF"/>
        </w:rPr>
        <w:t>, </w:t>
      </w:r>
      <w:r>
        <w:rPr>
          <w:rFonts w:hint="default" w:ascii="Times New Roman" w:hAnsi="Times New Roman" w:eastAsia="Segoe UI" w:cs="Times New Roman"/>
          <w:i/>
          <w:iCs/>
          <w:caps w:val="0"/>
          <w:color w:val="212121"/>
          <w:spacing w:val="0"/>
          <w:sz w:val="24"/>
          <w:szCs w:val="24"/>
          <w:shd w:val="clear" w:fill="FFFFFF"/>
        </w:rPr>
        <w:t>57 Suppl 3</w:t>
      </w:r>
      <w:r>
        <w:rPr>
          <w:rFonts w:hint="default" w:ascii="Times New Roman" w:hAnsi="Times New Roman" w:eastAsia="Segoe UI" w:cs="Times New Roman"/>
          <w:i w:val="0"/>
          <w:iCs w:val="0"/>
          <w:caps w:val="0"/>
          <w:color w:val="212121"/>
          <w:spacing w:val="0"/>
          <w:sz w:val="24"/>
          <w:szCs w:val="24"/>
          <w:shd w:val="clear" w:fill="FFFFFF"/>
        </w:rPr>
        <w:t xml:space="preserve">(Suppl 3), S139–S170. </w:t>
      </w:r>
      <w:r>
        <w:rPr>
          <w:rFonts w:hint="default" w:ascii="Times New Roman" w:hAnsi="Times New Roman" w:eastAsia="Segoe UI" w:cs="Times New Roman"/>
          <w:i w:val="0"/>
          <w:iCs w:val="0"/>
          <w:caps w:val="0"/>
          <w:color w:val="212121"/>
          <w:spacing w:val="0"/>
          <w:sz w:val="24"/>
          <w:szCs w:val="24"/>
          <w:shd w:val="clear" w:fill="FFFFFF"/>
        </w:rPr>
        <w:fldChar w:fldCharType="begin"/>
      </w:r>
      <w:r>
        <w:rPr>
          <w:rFonts w:hint="default" w:ascii="Times New Roman" w:hAnsi="Times New Roman" w:eastAsia="Segoe UI" w:cs="Times New Roman"/>
          <w:i w:val="0"/>
          <w:iCs w:val="0"/>
          <w:caps w:val="0"/>
          <w:color w:val="212121"/>
          <w:spacing w:val="0"/>
          <w:sz w:val="24"/>
          <w:szCs w:val="24"/>
          <w:shd w:val="clear" w:fill="FFFFFF"/>
        </w:rPr>
        <w:instrText xml:space="preserve"> HYPERLINK "https://doi.org/10.1093/cid/cit578" </w:instrText>
      </w:r>
      <w:r>
        <w:rPr>
          <w:rFonts w:hint="default" w:ascii="Times New Roman" w:hAnsi="Times New Roman" w:eastAsia="Segoe UI" w:cs="Times New Roman"/>
          <w:i w:val="0"/>
          <w:iCs w:val="0"/>
          <w:caps w:val="0"/>
          <w:color w:val="212121"/>
          <w:spacing w:val="0"/>
          <w:sz w:val="24"/>
          <w:szCs w:val="24"/>
          <w:shd w:val="clear" w:fill="FFFFFF"/>
        </w:rPr>
        <w:fldChar w:fldCharType="separate"/>
      </w:r>
      <w:r>
        <w:rPr>
          <w:rStyle w:val="7"/>
          <w:rFonts w:hint="default" w:ascii="Times New Roman" w:hAnsi="Times New Roman" w:eastAsia="Segoe UI" w:cs="Times New Roman"/>
          <w:i w:val="0"/>
          <w:iCs w:val="0"/>
          <w:caps w:val="0"/>
          <w:spacing w:val="0"/>
          <w:sz w:val="24"/>
          <w:szCs w:val="24"/>
          <w:shd w:val="clear" w:fill="FFFFFF"/>
        </w:rPr>
        <w:t>https://doi.org/10.1093/cid/cit578</w:t>
      </w:r>
      <w:r>
        <w:rPr>
          <w:rFonts w:hint="default" w:ascii="Times New Roman" w:hAnsi="Times New Roman" w:eastAsia="Segoe UI" w:cs="Times New Roman"/>
          <w:i w:val="0"/>
          <w:iCs w:val="0"/>
          <w:caps w:val="0"/>
          <w:color w:val="212121"/>
          <w:spacing w:val="0"/>
          <w:sz w:val="24"/>
          <w:szCs w:val="24"/>
          <w:shd w:val="clear" w:fill="FFFFFF"/>
        </w:rPr>
        <w:fldChar w:fldCharType="end"/>
      </w:r>
    </w:p>
    <w:p w14:paraId="5C969CED">
      <w:pPr>
        <w:pStyle w:val="8"/>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eastAsia="Consolas" w:cs="Times New Roman"/>
          <w:i w:val="0"/>
          <w:iCs w:val="0"/>
          <w:caps w:val="0"/>
          <w:color w:val="1B1B1B"/>
          <w:spacing w:val="0"/>
          <w:sz w:val="24"/>
          <w:szCs w:val="24"/>
          <w:shd w:val="clear" w:fill="FFFFFF"/>
        </w:rPr>
      </w:pPr>
      <w:r>
        <w:rPr>
          <w:rFonts w:hint="default" w:ascii="Times New Roman" w:hAnsi="Times New Roman" w:eastAsia="Consolas" w:cs="Times New Roman"/>
          <w:i w:val="0"/>
          <w:iCs w:val="0"/>
          <w:caps w:val="0"/>
          <w:color w:val="1B1B1B"/>
          <w:spacing w:val="0"/>
          <w:sz w:val="24"/>
          <w:szCs w:val="24"/>
          <w:shd w:val="clear" w:fill="FFFFFF"/>
        </w:rPr>
        <w:t>Chen, F. E., Lee, P. W., Trick, A. Y., Park, J. S., Chen, L., Shah, K., Mostafa, H., Carroll, K. C., Hsieh, K., &amp; Wang, T. H. (2021). Point-of-care CRISPR-Cas-assisted SARS-CoV-2 detection in an automated and portable droplet magnetofluidic device. </w:t>
      </w:r>
      <w:r>
        <w:rPr>
          <w:rFonts w:hint="default" w:ascii="Times New Roman" w:hAnsi="Times New Roman" w:eastAsia="Consolas" w:cs="Times New Roman"/>
          <w:i/>
          <w:iCs/>
          <w:caps w:val="0"/>
          <w:color w:val="1B1B1B"/>
          <w:spacing w:val="0"/>
          <w:sz w:val="24"/>
          <w:szCs w:val="24"/>
          <w:shd w:val="clear" w:fill="FFFFFF"/>
        </w:rPr>
        <w:t>Biosensors &amp; bioelectronics</w:t>
      </w:r>
      <w:r>
        <w:rPr>
          <w:rFonts w:hint="default" w:ascii="Times New Roman" w:hAnsi="Times New Roman" w:eastAsia="Consolas" w:cs="Times New Roman"/>
          <w:i w:val="0"/>
          <w:iCs w:val="0"/>
          <w:caps w:val="0"/>
          <w:color w:val="1B1B1B"/>
          <w:spacing w:val="0"/>
          <w:sz w:val="24"/>
          <w:szCs w:val="24"/>
          <w:shd w:val="clear" w:fill="FFFFFF"/>
        </w:rPr>
        <w:t>, </w:t>
      </w:r>
      <w:r>
        <w:rPr>
          <w:rFonts w:hint="default" w:ascii="Times New Roman" w:hAnsi="Times New Roman" w:eastAsia="Consolas" w:cs="Times New Roman"/>
          <w:i/>
          <w:iCs/>
          <w:caps w:val="0"/>
          <w:color w:val="1B1B1B"/>
          <w:spacing w:val="0"/>
          <w:sz w:val="24"/>
          <w:szCs w:val="24"/>
          <w:shd w:val="clear" w:fill="FFFFFF"/>
        </w:rPr>
        <w:t>190</w:t>
      </w:r>
      <w:r>
        <w:rPr>
          <w:rFonts w:hint="default" w:ascii="Times New Roman" w:hAnsi="Times New Roman" w:eastAsia="Consolas" w:cs="Times New Roman"/>
          <w:i w:val="0"/>
          <w:iCs w:val="0"/>
          <w:caps w:val="0"/>
          <w:color w:val="1B1B1B"/>
          <w:spacing w:val="0"/>
          <w:sz w:val="24"/>
          <w:szCs w:val="24"/>
          <w:shd w:val="clear" w:fill="FFFFFF"/>
        </w:rPr>
        <w:t xml:space="preserve">, 113390. </w:t>
      </w:r>
      <w:r>
        <w:rPr>
          <w:rFonts w:hint="default" w:ascii="Times New Roman" w:hAnsi="Times New Roman" w:eastAsia="Consolas" w:cs="Times New Roman"/>
          <w:i w:val="0"/>
          <w:iCs w:val="0"/>
          <w:caps w:val="0"/>
          <w:color w:val="1B1B1B"/>
          <w:spacing w:val="0"/>
          <w:sz w:val="24"/>
          <w:szCs w:val="24"/>
          <w:shd w:val="clear" w:fill="FFFFFF"/>
        </w:rPr>
        <w:fldChar w:fldCharType="begin"/>
      </w:r>
      <w:r>
        <w:rPr>
          <w:rFonts w:hint="default" w:ascii="Times New Roman" w:hAnsi="Times New Roman" w:eastAsia="Consolas" w:cs="Times New Roman"/>
          <w:i w:val="0"/>
          <w:iCs w:val="0"/>
          <w:caps w:val="0"/>
          <w:color w:val="1B1B1B"/>
          <w:spacing w:val="0"/>
          <w:sz w:val="24"/>
          <w:szCs w:val="24"/>
          <w:shd w:val="clear" w:fill="FFFFFF"/>
        </w:rPr>
        <w:instrText xml:space="preserve"> HYPERLINK "https://doi.org/10.1016/j.bios.2021.113390" </w:instrText>
      </w:r>
      <w:r>
        <w:rPr>
          <w:rFonts w:hint="default" w:ascii="Times New Roman" w:hAnsi="Times New Roman" w:eastAsia="Consolas" w:cs="Times New Roman"/>
          <w:i w:val="0"/>
          <w:iCs w:val="0"/>
          <w:caps w:val="0"/>
          <w:color w:val="1B1B1B"/>
          <w:spacing w:val="0"/>
          <w:sz w:val="24"/>
          <w:szCs w:val="24"/>
          <w:shd w:val="clear" w:fill="FFFFFF"/>
        </w:rPr>
        <w:fldChar w:fldCharType="separate"/>
      </w:r>
      <w:r>
        <w:rPr>
          <w:rStyle w:val="7"/>
          <w:rFonts w:hint="default" w:ascii="Times New Roman" w:hAnsi="Times New Roman" w:eastAsia="Consolas" w:cs="Times New Roman"/>
          <w:i w:val="0"/>
          <w:iCs w:val="0"/>
          <w:caps w:val="0"/>
          <w:spacing w:val="0"/>
          <w:sz w:val="24"/>
          <w:szCs w:val="24"/>
          <w:shd w:val="clear" w:fill="FFFFFF"/>
        </w:rPr>
        <w:t>https://doi.org/10.1016/j.bios.2021.113390</w:t>
      </w:r>
      <w:r>
        <w:rPr>
          <w:rFonts w:hint="default" w:ascii="Times New Roman" w:hAnsi="Times New Roman" w:eastAsia="Consolas" w:cs="Times New Roman"/>
          <w:i w:val="0"/>
          <w:iCs w:val="0"/>
          <w:caps w:val="0"/>
          <w:color w:val="1B1B1B"/>
          <w:spacing w:val="0"/>
          <w:sz w:val="24"/>
          <w:szCs w:val="24"/>
          <w:shd w:val="clear" w:fill="FFFFFF"/>
        </w:rPr>
        <w:fldChar w:fldCharType="end"/>
      </w:r>
    </w:p>
    <w:p w14:paraId="1FC5A45E">
      <w:pPr>
        <w:pStyle w:val="8"/>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eastAsia="Consolas" w:cs="Times New Roman"/>
          <w:i w:val="0"/>
          <w:iCs w:val="0"/>
          <w:caps w:val="0"/>
          <w:color w:val="1B1B1B"/>
          <w:spacing w:val="0"/>
          <w:sz w:val="24"/>
          <w:szCs w:val="24"/>
          <w:shd w:val="clear" w:fill="FFFFFF"/>
        </w:rPr>
      </w:pPr>
      <w:r>
        <w:rPr>
          <w:rFonts w:hint="default" w:ascii="Times New Roman" w:hAnsi="Times New Roman" w:eastAsia="Consolas" w:cs="Times New Roman"/>
          <w:i w:val="0"/>
          <w:iCs w:val="0"/>
          <w:caps w:val="0"/>
          <w:color w:val="1B1B1B"/>
          <w:spacing w:val="0"/>
          <w:sz w:val="24"/>
          <w:szCs w:val="24"/>
          <w:shd w:val="clear" w:fill="FFFFFF"/>
        </w:rPr>
        <w:t>Ramesh, M., Janani, R., Deepa, C., &amp; Rajeshkumar, L. (2022). Nanotechnology-Enabled Biosensors: A Review of Fundamentals, Design Principles, Materials, and Applications. </w:t>
      </w:r>
      <w:r>
        <w:rPr>
          <w:rFonts w:hint="default" w:ascii="Times New Roman" w:hAnsi="Times New Roman" w:eastAsia="Consolas" w:cs="Times New Roman"/>
          <w:i/>
          <w:iCs/>
          <w:caps w:val="0"/>
          <w:color w:val="1B1B1B"/>
          <w:spacing w:val="0"/>
          <w:sz w:val="24"/>
          <w:szCs w:val="24"/>
          <w:shd w:val="clear" w:fill="FFFFFF"/>
        </w:rPr>
        <w:t>Biosensors</w:t>
      </w:r>
      <w:r>
        <w:rPr>
          <w:rFonts w:hint="default" w:ascii="Times New Roman" w:hAnsi="Times New Roman" w:eastAsia="Consolas" w:cs="Times New Roman"/>
          <w:i w:val="0"/>
          <w:iCs w:val="0"/>
          <w:caps w:val="0"/>
          <w:color w:val="1B1B1B"/>
          <w:spacing w:val="0"/>
          <w:sz w:val="24"/>
          <w:szCs w:val="24"/>
          <w:shd w:val="clear" w:fill="FFFFFF"/>
        </w:rPr>
        <w:t>, </w:t>
      </w:r>
      <w:r>
        <w:rPr>
          <w:rFonts w:hint="default" w:ascii="Times New Roman" w:hAnsi="Times New Roman" w:eastAsia="Consolas" w:cs="Times New Roman"/>
          <w:i/>
          <w:iCs/>
          <w:caps w:val="0"/>
          <w:color w:val="1B1B1B"/>
          <w:spacing w:val="0"/>
          <w:sz w:val="24"/>
          <w:szCs w:val="24"/>
          <w:shd w:val="clear" w:fill="FFFFFF"/>
        </w:rPr>
        <w:t>13</w:t>
      </w:r>
      <w:r>
        <w:rPr>
          <w:rFonts w:hint="default" w:ascii="Times New Roman" w:hAnsi="Times New Roman" w:eastAsia="Consolas" w:cs="Times New Roman"/>
          <w:i w:val="0"/>
          <w:iCs w:val="0"/>
          <w:caps w:val="0"/>
          <w:color w:val="1B1B1B"/>
          <w:spacing w:val="0"/>
          <w:sz w:val="24"/>
          <w:szCs w:val="24"/>
          <w:shd w:val="clear" w:fill="FFFFFF"/>
        </w:rPr>
        <w:t xml:space="preserve">(1), 40. </w:t>
      </w:r>
      <w:r>
        <w:rPr>
          <w:rFonts w:hint="default" w:ascii="Times New Roman" w:hAnsi="Times New Roman" w:eastAsia="Consolas" w:cs="Times New Roman"/>
          <w:i w:val="0"/>
          <w:iCs w:val="0"/>
          <w:caps w:val="0"/>
          <w:color w:val="1B1B1B"/>
          <w:spacing w:val="0"/>
          <w:sz w:val="24"/>
          <w:szCs w:val="24"/>
          <w:shd w:val="clear" w:fill="FFFFFF"/>
        </w:rPr>
        <w:fldChar w:fldCharType="begin"/>
      </w:r>
      <w:r>
        <w:rPr>
          <w:rFonts w:hint="default" w:ascii="Times New Roman" w:hAnsi="Times New Roman" w:eastAsia="Consolas" w:cs="Times New Roman"/>
          <w:i w:val="0"/>
          <w:iCs w:val="0"/>
          <w:caps w:val="0"/>
          <w:color w:val="1B1B1B"/>
          <w:spacing w:val="0"/>
          <w:sz w:val="24"/>
          <w:szCs w:val="24"/>
          <w:shd w:val="clear" w:fill="FFFFFF"/>
        </w:rPr>
        <w:instrText xml:space="preserve"> HYPERLINK "https://doi.org/10.3390/bios13010040" </w:instrText>
      </w:r>
      <w:r>
        <w:rPr>
          <w:rFonts w:hint="default" w:ascii="Times New Roman" w:hAnsi="Times New Roman" w:eastAsia="Consolas" w:cs="Times New Roman"/>
          <w:i w:val="0"/>
          <w:iCs w:val="0"/>
          <w:caps w:val="0"/>
          <w:color w:val="1B1B1B"/>
          <w:spacing w:val="0"/>
          <w:sz w:val="24"/>
          <w:szCs w:val="24"/>
          <w:shd w:val="clear" w:fill="FFFFFF"/>
        </w:rPr>
        <w:fldChar w:fldCharType="separate"/>
      </w:r>
      <w:r>
        <w:rPr>
          <w:rStyle w:val="7"/>
          <w:rFonts w:hint="default" w:ascii="Times New Roman" w:hAnsi="Times New Roman" w:eastAsia="Consolas" w:cs="Times New Roman"/>
          <w:i w:val="0"/>
          <w:iCs w:val="0"/>
          <w:caps w:val="0"/>
          <w:spacing w:val="0"/>
          <w:sz w:val="24"/>
          <w:szCs w:val="24"/>
          <w:shd w:val="clear" w:fill="FFFFFF"/>
        </w:rPr>
        <w:t>https://doi.org/10.3390/bios13010040</w:t>
      </w:r>
      <w:r>
        <w:rPr>
          <w:rFonts w:hint="default" w:ascii="Times New Roman" w:hAnsi="Times New Roman" w:eastAsia="Consolas" w:cs="Times New Roman"/>
          <w:i w:val="0"/>
          <w:iCs w:val="0"/>
          <w:caps w:val="0"/>
          <w:color w:val="1B1B1B"/>
          <w:spacing w:val="0"/>
          <w:sz w:val="24"/>
          <w:szCs w:val="24"/>
          <w:shd w:val="clear" w:fill="FFFFFF"/>
        </w:rPr>
        <w:fldChar w:fldCharType="end"/>
      </w:r>
    </w:p>
    <w:p w14:paraId="2F110E28">
      <w:pPr>
        <w:numPr>
          <w:ilvl w:val="0"/>
          <w:numId w:val="0"/>
        </w:numPr>
        <w:spacing w:line="360" w:lineRule="auto"/>
        <w:ind w:leftChars="0"/>
        <w:jc w:val="both"/>
        <w:rPr>
          <w:rFonts w:hint="default" w:ascii="Times New Roman" w:hAnsi="Times New Roman" w:eastAsia="Segoe UI" w:cs="Times New Roman"/>
          <w:i w:val="0"/>
          <w:iCs w:val="0"/>
          <w:caps w:val="0"/>
          <w:color w:val="212121"/>
          <w:spacing w:val="0"/>
          <w:sz w:val="24"/>
          <w:szCs w:val="24"/>
          <w:shd w:val="clear" w:fill="FFFFFF"/>
        </w:rPr>
      </w:pPr>
    </w:p>
    <w:p w14:paraId="75248CBE">
      <w:pPr>
        <w:spacing w:line="360" w:lineRule="auto"/>
        <w:jc w:val="both"/>
        <w:rPr>
          <w:rFonts w:hint="default" w:ascii="Times New Roman" w:hAnsi="Times New Roman" w:cs="Times New Roman"/>
          <w:sz w:val="24"/>
          <w:szCs w:val="24"/>
          <w:highlight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58C30"/>
    <w:multiLevelType w:val="singleLevel"/>
    <w:tmpl w:val="85B58C30"/>
    <w:lvl w:ilvl="0" w:tentative="0">
      <w:start w:val="1"/>
      <w:numFmt w:val="decimal"/>
      <w:lvlText w:val="%1."/>
      <w:lvlJc w:val="left"/>
      <w:pPr>
        <w:tabs>
          <w:tab w:val="left" w:pos="425"/>
        </w:tabs>
        <w:ind w:left="425" w:leftChars="0" w:hanging="425" w:firstLineChars="0"/>
      </w:pPr>
      <w:rPr>
        <w:rFonts w:hint="default"/>
      </w:rPr>
    </w:lvl>
  </w:abstractNum>
  <w:abstractNum w:abstractNumId="1">
    <w:nsid w:val="DB06F7AB"/>
    <w:multiLevelType w:val="singleLevel"/>
    <w:tmpl w:val="DB06F7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C2C1B00"/>
    <w:multiLevelType w:val="singleLevel"/>
    <w:tmpl w:val="FC2C1B00"/>
    <w:lvl w:ilvl="0" w:tentative="0">
      <w:start w:val="1"/>
      <w:numFmt w:val="decimal"/>
      <w:suff w:val="space"/>
      <w:lvlText w:val="%1."/>
      <w:lvlJc w:val="left"/>
    </w:lvl>
  </w:abstractNum>
  <w:abstractNum w:abstractNumId="3">
    <w:nsid w:val="09F4F671"/>
    <w:multiLevelType w:val="singleLevel"/>
    <w:tmpl w:val="09F4F67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0C11AC"/>
    <w:rsid w:val="3C370893"/>
    <w:rsid w:val="4D0C1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2025-11-03T07:52:00Z</dcterms:created>
  <dc:creator>fariha shafiq</dc:creator>
  <cp:lastModifiedBy>fariha shafiq</cp:lastModifiedBy>
  <dcterms:modified xsi:type="dcterms:W3CDTF">2025-11-24T20:31:37Z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A6BEDBD3171C4E2785B11640D132F77C_13</vt:lpwstr>
  </property>
</Properties>
</file>