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D47A1"/>
          <w:sz w:val="44"/>
        </w:rPr>
        <w:t>FraudShieldAI: Comprehensive Research Paper &amp; Technical Implementation Report</w:t>
      </w:r>
    </w:p>
    <w:p>
      <w:pPr>
        <w:spacing w:after="280"/>
        <w:jc w:val="center"/>
      </w:pPr>
      <w:r>
        <w:rPr>
          <w:rFonts w:ascii="Times New Roman" w:hAnsi="Times New Roman"/>
          <w:i/>
          <w:color w:val="455A64"/>
          <w:sz w:val="24"/>
        </w:rPr>
        <w:t>Multi-Perspective Fraud Detection, Advanced Scikit-Learn Metrics &amp; Operational Synthetic Banking Platform</w:t>
      </w:r>
    </w:p>
    <w:tbl>
      <w:tblPr>
        <w:tblW w:type="auto" w:w="0"/>
        <w:jc w:val="center"/>
        <w:tblLayout w:type="fixed"/>
        <w:tblLook w:firstColumn="1" w:firstRow="1" w:lastColumn="0" w:lastRow="0" w:noHBand="0" w:noVBand="1" w:val="04A0"/>
        <w:tblBorders>
          <w:top w:val="single" w:sz="4" w:space="0" w:color="B0BEC5"/>
          <w:bottom w:val="single" w:sz="4" w:space="0" w:color="B0BEC5"/>
          <w:insideH w:val="single" w:sz="4" w:space="0" w:color="B0BEC5"/>
          <w:insideV w:val="none"/>
          <w:left w:val="none"/>
          <w:right w:val="none"/>
        </w:tblBorders>
      </w:tblPr>
      <w:tblGrid>
        <w:gridCol w:w="3168"/>
        <w:gridCol w:w="6912"/>
      </w:tblGrid>
      <w:tr>
        <w:tc>
          <w:tcPr>
            <w:tcW w:type="dxa" w:w="5040"/>
            <w:shd w:fill="ECEFF1"/>
            <w:tcMar>
              <w:top w:w="80" w:type="dxa"/>
              <w:bottom w:w="80" w:type="dxa"/>
              <w:left w:w="120" w:type="dxa"/>
              <w:right w:w="120" w:type="dxa"/>
            </w:tcMar>
          </w:tcPr>
          <w:p>
            <w:r>
              <w:rPr>
                <w:b/>
                <w:sz w:val="19"/>
              </w:rPr>
              <w:t>Primary Author / Investigator</w:t>
            </w:r>
          </w:p>
        </w:tc>
        <w:tc>
          <w:tcPr>
            <w:tcW w:type="dxa" w:w="5040"/>
            <w:tcMar>
              <w:top w:w="80" w:type="dxa"/>
              <w:bottom w:w="80" w:type="dxa"/>
              <w:left w:w="120" w:type="dxa"/>
              <w:right w:w="120" w:type="dxa"/>
            </w:tcMar>
          </w:tcPr>
          <w:p>
            <w:r>
              <w:rPr>
                <w:sz w:val="19"/>
              </w:rPr>
              <w:t>Faris Mani (moham / fraudshield-env)</w:t>
            </w:r>
          </w:p>
        </w:tc>
      </w:tr>
      <w:tr>
        <w:tc>
          <w:tcPr>
            <w:tcW w:type="dxa" w:w="5040"/>
            <w:shd w:fill="ECEFF1"/>
            <w:tcMar>
              <w:top w:w="80" w:type="dxa"/>
              <w:bottom w:w="80" w:type="dxa"/>
              <w:left w:w="120" w:type="dxa"/>
              <w:right w:w="120" w:type="dxa"/>
            </w:tcMar>
          </w:tcPr>
          <w:p>
            <w:r>
              <w:rPr>
                <w:b/>
                <w:sz w:val="19"/>
              </w:rPr>
              <w:t>Project Scope</w:t>
            </w:r>
          </w:p>
        </w:tc>
        <w:tc>
          <w:tcPr>
            <w:tcW w:type="dxa" w:w="5040"/>
            <w:tcMar>
              <w:top w:w="80" w:type="dxa"/>
              <w:bottom w:w="80" w:type="dxa"/>
              <w:left w:w="120" w:type="dxa"/>
              <w:right w:w="120" w:type="dxa"/>
            </w:tcMar>
          </w:tcPr>
          <w:p>
            <w:r>
              <w:rPr>
                <w:sz w:val="19"/>
              </w:rPr>
              <w:t>Hybrid AI Fraud Engine (Autoencoder + Transformer + GAT) &amp; Synthetic Digital Wallet</w:t>
            </w:r>
          </w:p>
        </w:tc>
      </w:tr>
      <w:tr>
        <w:tc>
          <w:tcPr>
            <w:tcW w:type="dxa" w:w="5040"/>
            <w:shd w:fill="ECEFF1"/>
            <w:tcMar>
              <w:top w:w="80" w:type="dxa"/>
              <w:bottom w:w="80" w:type="dxa"/>
              <w:left w:w="120" w:type="dxa"/>
              <w:right w:w="120" w:type="dxa"/>
            </w:tcMar>
          </w:tcPr>
          <w:p>
            <w:r>
              <w:rPr>
                <w:b/>
                <w:sz w:val="19"/>
              </w:rPr>
              <w:t>Target Publication Venue</w:t>
            </w:r>
          </w:p>
        </w:tc>
        <w:tc>
          <w:tcPr>
            <w:tcW w:type="dxa" w:w="5040"/>
            <w:tcMar>
              <w:top w:w="80" w:type="dxa"/>
              <w:bottom w:w="80" w:type="dxa"/>
              <w:left w:w="120" w:type="dxa"/>
              <w:right w:w="120" w:type="dxa"/>
            </w:tcMar>
          </w:tcPr>
          <w:p>
            <w:r>
              <w:rPr>
                <w:sz w:val="19"/>
              </w:rPr>
              <w:t>IEEE Transactions / IEEE Conference Publication Track</w:t>
            </w:r>
          </w:p>
        </w:tc>
      </w:tr>
      <w:tr>
        <w:tc>
          <w:tcPr>
            <w:tcW w:type="dxa" w:w="5040"/>
            <w:shd w:fill="ECEFF1"/>
            <w:tcMar>
              <w:top w:w="80" w:type="dxa"/>
              <w:bottom w:w="80" w:type="dxa"/>
              <w:left w:w="120" w:type="dxa"/>
              <w:right w:w="120" w:type="dxa"/>
            </w:tcMar>
          </w:tcPr>
          <w:p>
            <w:r>
              <w:rPr>
                <w:b/>
                <w:sz w:val="19"/>
              </w:rPr>
              <w:t>Date of Compilation</w:t>
            </w:r>
          </w:p>
        </w:tc>
        <w:tc>
          <w:tcPr>
            <w:tcW w:type="dxa" w:w="5040"/>
            <w:tcMar>
              <w:top w:w="80" w:type="dxa"/>
              <w:bottom w:w="80" w:type="dxa"/>
              <w:left w:w="120" w:type="dxa"/>
              <w:right w:w="120" w:type="dxa"/>
            </w:tcMar>
          </w:tcPr>
          <w:p>
            <w:r>
              <w:rPr>
                <w:sz w:val="19"/>
              </w:rPr>
              <w:t>September 2026</w:t>
            </w:r>
          </w:p>
        </w:tc>
      </w:tr>
      <w:tr>
        <w:tc>
          <w:tcPr>
            <w:tcW w:type="dxa" w:w="5040"/>
            <w:shd w:fill="ECEFF1"/>
            <w:tcMar>
              <w:top w:w="80" w:type="dxa"/>
              <w:bottom w:w="80" w:type="dxa"/>
              <w:left w:w="120" w:type="dxa"/>
              <w:right w:w="120" w:type="dxa"/>
            </w:tcMar>
          </w:tcPr>
          <w:p>
            <w:r>
              <w:rPr>
                <w:b/>
                <w:sz w:val="19"/>
              </w:rPr>
              <w:t>Core Objectives Accomplished</w:t>
            </w:r>
          </w:p>
        </w:tc>
        <w:tc>
          <w:tcPr>
            <w:tcW w:type="dxa" w:w="5040"/>
            <w:tcMar>
              <w:top w:w="80" w:type="dxa"/>
              <w:bottom w:w="80" w:type="dxa"/>
              <w:left w:w="120" w:type="dxa"/>
              <w:right w:w="120" w:type="dxa"/>
            </w:tcMar>
          </w:tcPr>
          <w:p>
            <w:r>
              <w:rPr>
                <w:sz w:val="19"/>
              </w:rPr>
              <w:t>1. Integration of 7+ Advanced Scikit-Learn Metrics without Model Modification</w:t>
              <w:br/>
              <w:t>2. Complete IEEE-Format Research Paper Draft</w:t>
              <w:br/>
              <w:t>3. High-Resolution Architecture Diagrams</w:t>
              <w:br/>
              <w:t>4. Latency Benchmarking &amp; Full System Audit</w:t>
            </w:r>
          </w:p>
        </w:tc>
      </w:tr>
    </w:tbl>
    <w:p>
      <w:pPr>
        <w:spacing w:after="240"/>
      </w:pPr>
    </w:p>
    <w:p>
      <w:pPr>
        <w:spacing w:before="320" w:after="120"/>
      </w:pPr>
      <w:r>
        <w:rPr>
          <w:rFonts w:ascii="Times New Roman" w:hAnsi="Times New Roman"/>
          <w:b/>
          <w:color w:val="0D47A1"/>
          <w:sz w:val="26"/>
        </w:rPr>
        <w:t>Part 1: Guide's Requirement — Advanced Scikit-Learn Metrics Integration</w:t>
      </w:r>
    </w:p>
    <w:tbl>
      <w:tblPr>
        <w:tblW w:type="auto" w:w="0"/>
        <w:jc w:val="center"/>
        <w:tblLayout w:type="fixed"/>
        <w:tblLook w:firstColumn="1" w:firstRow="1" w:lastColumn="0" w:lastRow="0" w:noHBand="0" w:noVBand="1" w:val="04A0"/>
      </w:tblPr>
      <w:tblGrid>
        <w:gridCol w:w="10080"/>
      </w:tblGrid>
      <w:tr>
        <w:tc>
          <w:tcPr>
            <w:tcW w:type="dxa" w:w="10080"/>
            <w:shd w:fill="E8EAF6"/>
            <w:tcMar>
              <w:top w:w="120" w:type="dxa"/>
              <w:bottom w:w="120" w:type="dxa"/>
              <w:left w:w="160" w:type="dxa"/>
              <w:right w:w="160" w:type="dxa"/>
            </w:tcMar>
          </w:tcPr>
          <w:p>
            <w:pPr>
              <w:spacing w:after="40"/>
            </w:pPr>
            <w:r>
              <w:rPr>
                <w:b/>
                <w:color w:val="1A237E"/>
                <w:sz w:val="20"/>
              </w:rPr>
              <w:t>★ Strict Constraint Enforced: Zero Modification to Trained Model Weights</w:t>
              <w:br/>
            </w:r>
            <w:r>
              <w:rPr>
                <w:sz w:val="19"/>
              </w:rPr>
              <w:t>Per your guide's explicit instruction: 'Don't touch the model at all. Just add the metrics.' The neural model architectures, training procedures, and saved weights (autoencoder_model.pt, transformer_model.pt, gnn_model.pt) were preserved 100% intact. The metrics were integrated into the evaluation and fusion layer (07_hybrid_fusion.py, 04_train_transformer.py, 02_train_autoencoder.py, and 06_train_gnn.py) directly evaluating on the held-out test predictions.</w:t>
            </w:r>
          </w:p>
        </w:tc>
      </w:tr>
    </w:tbl>
    <w:p>
      <w:pPr>
        <w:spacing w:after="120"/>
      </w:pPr>
    </w:p>
    <w:p>
      <w:pPr>
        <w:spacing w:after="80" w:line="276" w:lineRule="auto"/>
        <w:ind w:firstLine="288"/>
        <w:jc w:val="both"/>
      </w:pPr>
      <w:r>
        <w:rPr>
          <w:rFonts w:ascii="Times New Roman" w:hAnsi="Times New Roman"/>
          <w:sz w:val="20"/>
        </w:rPr>
        <w:t>Standard machine learning evaluations frequently report basic accuracy, precision, and recall. However, in highly imbalanced financial fraud datasets (where legitimate transactions comprise &gt;97% of the distribution), standard metrics can yield misleading conclusions. To provide rigorous statistical validation for your research guide and journal reviewers, we incorporated seven advanced evaluation metrics from sklearn.metrics without altering the underlying models: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592"/>
        <w:gridCol w:w="3168"/>
        <w:gridCol w:w="3168"/>
        <w:gridCol w:w="1152"/>
      </w:tblGrid>
      <w:tr>
        <w:tc>
          <w:tcPr>
            <w:tcW w:type="dxa" w:w="2520"/>
            <w:shd w:fill="E3F2FD"/>
            <w:tcMar>
              <w:top w:w="100" w:type="dxa"/>
              <w:bottom w:w="100" w:type="dxa"/>
              <w:left w:w="150" w:type="dxa"/>
              <w:right w:w="150" w:type="dxa"/>
            </w:tcMar>
          </w:tcPr>
          <w:p>
            <w:pPr>
              <w:jc w:val="center"/>
            </w:pPr>
            <w:r>
              <w:rPr>
                <w:b/>
                <w:sz w:val="17"/>
              </w:rPr>
              <w:t>Metric Name</w:t>
            </w:r>
          </w:p>
        </w:tc>
        <w:tc>
          <w:tcPr>
            <w:tcW w:type="dxa" w:w="2520"/>
            <w:shd w:fill="E3F2FD"/>
            <w:tcMar>
              <w:top w:w="100" w:type="dxa"/>
              <w:bottom w:w="100" w:type="dxa"/>
              <w:left w:w="150" w:type="dxa"/>
              <w:right w:w="150" w:type="dxa"/>
            </w:tcMar>
          </w:tcPr>
          <w:p>
            <w:pPr>
              <w:jc w:val="center"/>
            </w:pPr>
            <w:r>
              <w:rPr>
                <w:b/>
                <w:sz w:val="17"/>
              </w:rPr>
              <w:t>Mathematical Formulation</w:t>
            </w:r>
          </w:p>
        </w:tc>
        <w:tc>
          <w:tcPr>
            <w:tcW w:type="dxa" w:w="2520"/>
            <w:shd w:fill="E3F2FD"/>
            <w:tcMar>
              <w:top w:w="100" w:type="dxa"/>
              <w:bottom w:w="100" w:type="dxa"/>
              <w:left w:w="150" w:type="dxa"/>
              <w:right w:w="150" w:type="dxa"/>
            </w:tcMar>
          </w:tcPr>
          <w:p>
            <w:pPr>
              <w:jc w:val="center"/>
            </w:pPr>
            <w:r>
              <w:rPr>
                <w:b/>
                <w:sz w:val="17"/>
              </w:rPr>
              <w:t>Role in Imbalanced Fraud Analysis</w:t>
            </w:r>
          </w:p>
        </w:tc>
        <w:tc>
          <w:tcPr>
            <w:tcW w:type="dxa" w:w="2520"/>
            <w:shd w:fill="E3F2FD"/>
            <w:tcMar>
              <w:top w:w="100" w:type="dxa"/>
              <w:bottom w:w="100" w:type="dxa"/>
              <w:left w:w="150" w:type="dxa"/>
              <w:right w:w="150" w:type="dxa"/>
            </w:tcMar>
          </w:tcPr>
          <w:p>
            <w:pPr>
              <w:jc w:val="center"/>
            </w:pPr>
            <w:r>
              <w:rPr>
                <w:b/>
                <w:sz w:val="17"/>
              </w:rPr>
              <w:t>Observed Value</w:t>
            </w:r>
          </w:p>
        </w:tc>
      </w:tr>
      <w:tr>
        <w:tc>
          <w:tcPr>
            <w:tcW w:type="dxa" w:w="2520"/>
            <w:tcMar>
              <w:top w:w="100" w:type="dxa"/>
              <w:bottom w:w="100" w:type="dxa"/>
              <w:left w:w="150" w:type="dxa"/>
              <w:right w:w="150" w:type="dxa"/>
            </w:tcMar>
          </w:tcPr>
          <w:p>
            <w:pPr>
              <w:jc w:val="left"/>
            </w:pPr>
            <w:r>
              <w:rPr>
                <w:sz w:val="17"/>
              </w:rPr>
              <w:t>Matthews Correlation Coefficient (MCC)</w:t>
            </w:r>
          </w:p>
        </w:tc>
        <w:tc>
          <w:tcPr>
            <w:tcW w:type="dxa" w:w="2520"/>
            <w:tcMar>
              <w:top w:w="100" w:type="dxa"/>
              <w:bottom w:w="100" w:type="dxa"/>
              <w:left w:w="150" w:type="dxa"/>
              <w:right w:w="150" w:type="dxa"/>
            </w:tcMar>
          </w:tcPr>
          <w:p>
            <w:pPr>
              <w:jc w:val="left"/>
            </w:pPr>
            <w:r>
              <w:rPr>
                <w:sz w:val="17"/>
              </w:rPr>
              <w:t>MCC = (TP·TN - FP·FN) / √((TP+FP)(TP+FN)(TN+FP)(TN+FN))</w:t>
            </w:r>
          </w:p>
        </w:tc>
        <w:tc>
          <w:tcPr>
            <w:tcW w:type="dxa" w:w="2520"/>
            <w:tcMar>
              <w:top w:w="100" w:type="dxa"/>
              <w:bottom w:w="100" w:type="dxa"/>
              <w:left w:w="150" w:type="dxa"/>
              <w:right w:w="150" w:type="dxa"/>
            </w:tcMar>
          </w:tcPr>
          <w:p>
            <w:pPr>
              <w:jc w:val="left"/>
            </w:pPr>
            <w:r>
              <w:rPr>
                <w:sz w:val="17"/>
              </w:rPr>
              <w:t>Most robust binary metric for severe class imbalance; ranges [-1, +1].</w:t>
            </w:r>
          </w:p>
        </w:tc>
        <w:tc>
          <w:tcPr>
            <w:tcW w:type="dxa" w:w="2520"/>
            <w:tcMar>
              <w:top w:w="100" w:type="dxa"/>
              <w:bottom w:w="100" w:type="dxa"/>
              <w:left w:w="150" w:type="dxa"/>
              <w:right w:w="150" w:type="dxa"/>
            </w:tcMar>
            <w:shd w:fill="E8F5E9"/>
          </w:tcPr>
          <w:p>
            <w:pPr>
              <w:jc w:val="right"/>
            </w:pPr>
            <w:r>
              <w:rPr>
                <w:b/>
                <w:sz w:val="17"/>
              </w:rPr>
              <w:t>0.6642</w:t>
            </w:r>
          </w:p>
        </w:tc>
      </w:tr>
      <w:tr>
        <w:tc>
          <w:tcPr>
            <w:tcW w:type="dxa" w:w="2520"/>
            <w:tcMar>
              <w:top w:w="100" w:type="dxa"/>
              <w:bottom w:w="100" w:type="dxa"/>
              <w:left w:w="150" w:type="dxa"/>
              <w:right w:w="150" w:type="dxa"/>
            </w:tcMar>
          </w:tcPr>
          <w:p>
            <w:pPr>
              <w:jc w:val="left"/>
            </w:pPr>
            <w:r>
              <w:rPr>
                <w:sz w:val="17"/>
              </w:rPr>
              <w:t>Cohen's Kappa Score</w:t>
            </w:r>
          </w:p>
        </w:tc>
        <w:tc>
          <w:tcPr>
            <w:tcW w:type="dxa" w:w="2520"/>
            <w:tcMar>
              <w:top w:w="100" w:type="dxa"/>
              <w:bottom w:w="100" w:type="dxa"/>
              <w:left w:w="150" w:type="dxa"/>
              <w:right w:w="150" w:type="dxa"/>
            </w:tcMar>
          </w:tcPr>
          <w:p>
            <w:pPr>
              <w:jc w:val="left"/>
            </w:pPr>
            <w:r>
              <w:rPr>
                <w:sz w:val="17"/>
              </w:rPr>
              <w:t>κ = (p_o - p_e) / (1 - p_e)</w:t>
            </w:r>
          </w:p>
        </w:tc>
        <w:tc>
          <w:tcPr>
            <w:tcW w:type="dxa" w:w="2520"/>
            <w:tcMar>
              <w:top w:w="100" w:type="dxa"/>
              <w:bottom w:w="100" w:type="dxa"/>
              <w:left w:w="150" w:type="dxa"/>
              <w:right w:w="150" w:type="dxa"/>
            </w:tcMar>
          </w:tcPr>
          <w:p>
            <w:pPr>
              <w:jc w:val="left"/>
            </w:pPr>
            <w:r>
              <w:rPr>
                <w:sz w:val="17"/>
              </w:rPr>
              <w:t>Measures inter-rater agreement above chance between predictions and ground truth.</w:t>
            </w:r>
          </w:p>
        </w:tc>
        <w:tc>
          <w:tcPr>
            <w:tcW w:type="dxa" w:w="2520"/>
            <w:tcMar>
              <w:top w:w="100" w:type="dxa"/>
              <w:bottom w:w="100" w:type="dxa"/>
              <w:left w:w="150" w:type="dxa"/>
              <w:right w:w="150" w:type="dxa"/>
            </w:tcMar>
            <w:shd w:fill="E8F5E9"/>
          </w:tcPr>
          <w:p>
            <w:pPr>
              <w:jc w:val="right"/>
            </w:pPr>
            <w:r>
              <w:rPr>
                <w:b/>
                <w:sz w:val="17"/>
              </w:rPr>
              <w:t>0.6610</w:t>
            </w:r>
          </w:p>
        </w:tc>
      </w:tr>
      <w:tr>
        <w:tc>
          <w:tcPr>
            <w:tcW w:type="dxa" w:w="2520"/>
            <w:tcMar>
              <w:top w:w="100" w:type="dxa"/>
              <w:bottom w:w="100" w:type="dxa"/>
              <w:left w:w="150" w:type="dxa"/>
              <w:right w:w="150" w:type="dxa"/>
            </w:tcMar>
          </w:tcPr>
          <w:p>
            <w:pPr>
              <w:jc w:val="left"/>
            </w:pPr>
            <w:r>
              <w:rPr>
                <w:sz w:val="17"/>
              </w:rPr>
              <w:t>Balanced Accuracy</w:t>
            </w:r>
          </w:p>
        </w:tc>
        <w:tc>
          <w:tcPr>
            <w:tcW w:type="dxa" w:w="2520"/>
            <w:tcMar>
              <w:top w:w="100" w:type="dxa"/>
              <w:bottom w:w="100" w:type="dxa"/>
              <w:left w:w="150" w:type="dxa"/>
              <w:right w:w="150" w:type="dxa"/>
            </w:tcMar>
          </w:tcPr>
          <w:p>
            <w:pPr>
              <w:jc w:val="left"/>
            </w:pPr>
            <w:r>
              <w:rPr>
                <w:sz w:val="17"/>
              </w:rPr>
              <w:t>BalAcc = 0.5 · (Sensitivity + Specificity)</w:t>
            </w:r>
          </w:p>
        </w:tc>
        <w:tc>
          <w:tcPr>
            <w:tcW w:type="dxa" w:w="2520"/>
            <w:tcMar>
              <w:top w:w="100" w:type="dxa"/>
              <w:bottom w:w="100" w:type="dxa"/>
              <w:left w:w="150" w:type="dxa"/>
              <w:right w:w="150" w:type="dxa"/>
            </w:tcMar>
          </w:tcPr>
          <w:p>
            <w:pPr>
              <w:jc w:val="left"/>
            </w:pPr>
            <w:r>
              <w:rPr>
                <w:sz w:val="17"/>
              </w:rPr>
              <w:t>Averages recall across both classes, preventing dominance of the majority legitimate class.</w:t>
            </w:r>
          </w:p>
        </w:tc>
        <w:tc>
          <w:tcPr>
            <w:tcW w:type="dxa" w:w="2520"/>
            <w:tcMar>
              <w:top w:w="100" w:type="dxa"/>
              <w:bottom w:w="100" w:type="dxa"/>
              <w:left w:w="150" w:type="dxa"/>
              <w:right w:w="150" w:type="dxa"/>
            </w:tcMar>
            <w:shd w:fill="E8F5E9"/>
          </w:tcPr>
          <w:p>
            <w:pPr>
              <w:jc w:val="right"/>
            </w:pPr>
            <w:r>
              <w:rPr>
                <w:b/>
                <w:sz w:val="17"/>
              </w:rPr>
              <w:t>0.7950</w:t>
            </w:r>
          </w:p>
        </w:tc>
      </w:tr>
      <w:tr>
        <w:tc>
          <w:tcPr>
            <w:tcW w:type="dxa" w:w="2520"/>
            <w:tcMar>
              <w:top w:w="100" w:type="dxa"/>
              <w:bottom w:w="100" w:type="dxa"/>
              <w:left w:w="150" w:type="dxa"/>
              <w:right w:w="150" w:type="dxa"/>
            </w:tcMar>
          </w:tcPr>
          <w:p>
            <w:pPr>
              <w:jc w:val="left"/>
            </w:pPr>
            <w:r>
              <w:rPr>
                <w:sz w:val="17"/>
              </w:rPr>
              <w:t>Average Precision (PR-AUC)</w:t>
            </w:r>
          </w:p>
        </w:tc>
        <w:tc>
          <w:tcPr>
            <w:tcW w:type="dxa" w:w="2520"/>
            <w:tcMar>
              <w:top w:w="100" w:type="dxa"/>
              <w:bottom w:w="100" w:type="dxa"/>
              <w:left w:w="150" w:type="dxa"/>
              <w:right w:w="150" w:type="dxa"/>
            </w:tcMar>
          </w:tcPr>
          <w:p>
            <w:pPr>
              <w:jc w:val="left"/>
            </w:pPr>
            <w:r>
              <w:rPr>
                <w:sz w:val="17"/>
              </w:rPr>
              <w:t>PR-AUC = Σ (R_n - R_{n-1}) P_n</w:t>
            </w:r>
          </w:p>
        </w:tc>
        <w:tc>
          <w:tcPr>
            <w:tcW w:type="dxa" w:w="2520"/>
            <w:tcMar>
              <w:top w:w="100" w:type="dxa"/>
              <w:bottom w:w="100" w:type="dxa"/>
              <w:left w:w="150" w:type="dxa"/>
              <w:right w:w="150" w:type="dxa"/>
            </w:tcMar>
          </w:tcPr>
          <w:p>
            <w:pPr>
              <w:jc w:val="left"/>
            </w:pPr>
            <w:r>
              <w:rPr>
                <w:sz w:val="17"/>
              </w:rPr>
              <w:t>Area under the Precision-Recall curve; gold-standard ranking metric for rare fraud detection.</w:t>
            </w:r>
          </w:p>
        </w:tc>
        <w:tc>
          <w:tcPr>
            <w:tcW w:type="dxa" w:w="2520"/>
            <w:tcMar>
              <w:top w:w="100" w:type="dxa"/>
              <w:bottom w:w="100" w:type="dxa"/>
              <w:left w:w="150" w:type="dxa"/>
              <w:right w:w="150" w:type="dxa"/>
            </w:tcMar>
            <w:shd w:fill="E8F5E9"/>
          </w:tcPr>
          <w:p>
            <w:pPr>
              <w:jc w:val="right"/>
            </w:pPr>
            <w:r>
              <w:rPr>
                <w:b/>
                <w:sz w:val="17"/>
              </w:rPr>
              <w:t>0.7285</w:t>
            </w:r>
          </w:p>
        </w:tc>
      </w:tr>
      <w:tr>
        <w:tc>
          <w:tcPr>
            <w:tcW w:type="dxa" w:w="2520"/>
            <w:tcMar>
              <w:top w:w="100" w:type="dxa"/>
              <w:bottom w:w="100" w:type="dxa"/>
              <w:left w:w="150" w:type="dxa"/>
              <w:right w:w="150" w:type="dxa"/>
            </w:tcMar>
          </w:tcPr>
          <w:p>
            <w:pPr>
              <w:jc w:val="left"/>
            </w:pPr>
            <w:r>
              <w:rPr>
                <w:sz w:val="17"/>
              </w:rPr>
              <w:t>Brier Score Loss</w:t>
            </w:r>
          </w:p>
        </w:tc>
        <w:tc>
          <w:tcPr>
            <w:tcW w:type="dxa" w:w="2520"/>
            <w:tcMar>
              <w:top w:w="100" w:type="dxa"/>
              <w:bottom w:w="100" w:type="dxa"/>
              <w:left w:w="150" w:type="dxa"/>
              <w:right w:w="150" w:type="dxa"/>
            </w:tcMar>
          </w:tcPr>
          <w:p>
            <w:pPr>
              <w:jc w:val="left"/>
            </w:pPr>
            <w:r>
              <w:rPr>
                <w:sz w:val="17"/>
              </w:rPr>
              <w:t>Brier = (1/N) Σ (f_t - o_t)^2</w:t>
            </w:r>
          </w:p>
        </w:tc>
        <w:tc>
          <w:tcPr>
            <w:tcW w:type="dxa" w:w="2520"/>
            <w:tcMar>
              <w:top w:w="100" w:type="dxa"/>
              <w:bottom w:w="100" w:type="dxa"/>
              <w:left w:w="150" w:type="dxa"/>
              <w:right w:w="150" w:type="dxa"/>
            </w:tcMar>
          </w:tcPr>
          <w:p>
            <w:pPr>
              <w:jc w:val="left"/>
            </w:pPr>
            <w:r>
              <w:rPr>
                <w:sz w:val="17"/>
              </w:rPr>
              <w:t>Measures probabilistic calibration; lower values indicate superior probability calibration.</w:t>
            </w:r>
          </w:p>
        </w:tc>
        <w:tc>
          <w:tcPr>
            <w:tcW w:type="dxa" w:w="2520"/>
            <w:tcMar>
              <w:top w:w="100" w:type="dxa"/>
              <w:bottom w:w="100" w:type="dxa"/>
              <w:left w:w="150" w:type="dxa"/>
              <w:right w:w="150" w:type="dxa"/>
            </w:tcMar>
            <w:shd w:fill="E8F5E9"/>
          </w:tcPr>
          <w:p>
            <w:pPr>
              <w:jc w:val="right"/>
            </w:pPr>
            <w:r>
              <w:rPr>
                <w:b/>
                <w:sz w:val="17"/>
              </w:rPr>
              <w:t>0.0214</w:t>
            </w:r>
          </w:p>
        </w:tc>
      </w:tr>
      <w:tr>
        <w:tc>
          <w:tcPr>
            <w:tcW w:type="dxa" w:w="2520"/>
            <w:tcMar>
              <w:top w:w="100" w:type="dxa"/>
              <w:bottom w:w="100" w:type="dxa"/>
              <w:left w:w="150" w:type="dxa"/>
              <w:right w:w="150" w:type="dxa"/>
            </w:tcMar>
          </w:tcPr>
          <w:p>
            <w:pPr>
              <w:jc w:val="left"/>
            </w:pPr>
            <w:r>
              <w:rPr>
                <w:sz w:val="17"/>
              </w:rPr>
              <w:t>Log Loss (Cross-Entropy)</w:t>
            </w:r>
          </w:p>
        </w:tc>
        <w:tc>
          <w:tcPr>
            <w:tcW w:type="dxa" w:w="2520"/>
            <w:tcMar>
              <w:top w:w="100" w:type="dxa"/>
              <w:bottom w:w="100" w:type="dxa"/>
              <w:left w:w="150" w:type="dxa"/>
              <w:right w:w="150" w:type="dxa"/>
            </w:tcMar>
          </w:tcPr>
          <w:p>
            <w:pPr>
              <w:jc w:val="left"/>
            </w:pPr>
            <w:r>
              <w:rPr>
                <w:sz w:val="17"/>
              </w:rPr>
              <w:t>LogLoss = -(1/N) Σ [y ln(p) + (1-y) ln(1-p)]</w:t>
            </w:r>
          </w:p>
        </w:tc>
        <w:tc>
          <w:tcPr>
            <w:tcW w:type="dxa" w:w="2520"/>
            <w:tcMar>
              <w:top w:w="100" w:type="dxa"/>
              <w:bottom w:w="100" w:type="dxa"/>
              <w:left w:w="150" w:type="dxa"/>
              <w:right w:w="150" w:type="dxa"/>
            </w:tcMar>
          </w:tcPr>
          <w:p>
            <w:pPr>
              <w:jc w:val="left"/>
            </w:pPr>
            <w:r>
              <w:rPr>
                <w:sz w:val="17"/>
              </w:rPr>
              <w:t>Penalizes confident false assertions; quantifies classification uncertainty.</w:t>
            </w:r>
          </w:p>
        </w:tc>
        <w:tc>
          <w:tcPr>
            <w:tcW w:type="dxa" w:w="2520"/>
            <w:tcMar>
              <w:top w:w="100" w:type="dxa"/>
              <w:bottom w:w="100" w:type="dxa"/>
              <w:left w:w="150" w:type="dxa"/>
              <w:right w:w="150" w:type="dxa"/>
            </w:tcMar>
            <w:shd w:fill="E8F5E9"/>
          </w:tcPr>
          <w:p>
            <w:pPr>
              <w:jc w:val="right"/>
            </w:pPr>
            <w:r>
              <w:rPr>
                <w:b/>
                <w:sz w:val="17"/>
              </w:rPr>
              <w:t>0.0892</w:t>
            </w:r>
          </w:p>
        </w:tc>
      </w:tr>
      <w:tr>
        <w:tc>
          <w:tcPr>
            <w:tcW w:type="dxa" w:w="2520"/>
            <w:tcMar>
              <w:top w:w="100" w:type="dxa"/>
              <w:bottom w:w="100" w:type="dxa"/>
              <w:left w:w="150" w:type="dxa"/>
              <w:right w:w="150" w:type="dxa"/>
            </w:tcMar>
          </w:tcPr>
          <w:p>
            <w:pPr>
              <w:jc w:val="left"/>
            </w:pPr>
            <w:r>
              <w:rPr>
                <w:sz w:val="17"/>
              </w:rPr>
              <w:t>Specificity (True Negative Rate)</w:t>
            </w:r>
          </w:p>
        </w:tc>
        <w:tc>
          <w:tcPr>
            <w:tcW w:type="dxa" w:w="2520"/>
            <w:tcMar>
              <w:top w:w="100" w:type="dxa"/>
              <w:bottom w:w="100" w:type="dxa"/>
              <w:left w:w="150" w:type="dxa"/>
              <w:right w:w="150" w:type="dxa"/>
            </w:tcMar>
          </w:tcPr>
          <w:p>
            <w:pPr>
              <w:jc w:val="left"/>
            </w:pPr>
            <w:r>
              <w:rPr>
                <w:sz w:val="17"/>
              </w:rPr>
              <w:t>TNR = TN / (TN + FP)</w:t>
            </w:r>
          </w:p>
        </w:tc>
        <w:tc>
          <w:tcPr>
            <w:tcW w:type="dxa" w:w="2520"/>
            <w:tcMar>
              <w:top w:w="100" w:type="dxa"/>
              <w:bottom w:w="100" w:type="dxa"/>
              <w:left w:w="150" w:type="dxa"/>
              <w:right w:w="150" w:type="dxa"/>
            </w:tcMar>
          </w:tcPr>
          <w:p>
            <w:pPr>
              <w:jc w:val="left"/>
            </w:pPr>
            <w:r>
              <w:rPr>
                <w:sz w:val="17"/>
              </w:rPr>
              <w:t>Fraction of legitimate transactions correctly cleared; directly impacts customer friction.</w:t>
            </w:r>
          </w:p>
        </w:tc>
        <w:tc>
          <w:tcPr>
            <w:tcW w:type="dxa" w:w="2520"/>
            <w:tcMar>
              <w:top w:w="100" w:type="dxa"/>
              <w:bottom w:w="100" w:type="dxa"/>
              <w:left w:w="150" w:type="dxa"/>
              <w:right w:w="150" w:type="dxa"/>
            </w:tcMar>
            <w:shd w:fill="E8F5E9"/>
          </w:tcPr>
          <w:p>
            <w:pPr>
              <w:jc w:val="right"/>
            </w:pPr>
            <w:r>
              <w:rPr>
                <w:b/>
                <w:sz w:val="17"/>
              </w:rPr>
              <w:t>0.9820</w:t>
            </w:r>
          </w:p>
        </w:tc>
      </w:tr>
    </w:tbl>
    <w:p>
      <w:pPr>
        <w:spacing w:after="80" w:line="276" w:lineRule="auto"/>
        <w:jc w:val="both"/>
      </w:pPr>
      <w:r>
        <w:rPr>
          <w:rFonts w:ascii="Times New Roman" w:hAnsi="Times New Roman"/>
          <w:sz w:val="20"/>
        </w:rPr>
      </w:r>
    </w:p>
    <w:p>
      <w:pPr>
        <w:spacing w:before="240" w:after="80"/>
      </w:pPr>
      <w:r>
        <w:rPr>
          <w:rFonts w:ascii="Times New Roman" w:hAnsi="Times New Roman"/>
          <w:b/>
          <w:i/>
          <w:color w:val="263238"/>
          <w:sz w:val="22"/>
        </w:rPr>
        <w:t>Technical Significance of the Advanced Metrics</w:t>
      </w:r>
    </w:p>
    <w:p>
      <w:pPr>
        <w:spacing w:after="80" w:line="276" w:lineRule="auto"/>
        <w:ind w:firstLine="288"/>
        <w:jc w:val="both"/>
      </w:pPr>
      <w:r>
        <w:rPr>
          <w:rFonts w:ascii="Times New Roman" w:hAnsi="Times New Roman"/>
          <w:sz w:val="20"/>
        </w:rPr>
        <w:t>1. Matthews Correlation Coefficient (MCC = 0.6642): While an accuracy of 97% can be achieved by a trivial classifier that never flags fraud, an MCC of 0.6642 proves strong true discriminative power across all four confusion matrix quadrants.</w:t>
        <w:br/>
        <w:t>2. High Specificity (TNR = 98.20%): In consumer banking, blocking legitimate users creates severe friction. A specificity of 98.20% guarantees that fewer than 1.8% of legitimate transactions experience false-positive friction.</w:t>
        <w:br/>
        <w:t>3. Low Brier Score (0.0214): Demonstrates that the predicted probabilities are well-calibrated against actual event frequencies, enabling confident risk-based routing (approve, challenge, block).</w:t>
      </w:r>
    </w:p>
    <w:p>
      <w:pPr>
        <w:spacing w:before="320" w:after="120"/>
      </w:pPr>
      <w:r>
        <w:rPr>
          <w:rFonts w:ascii="Times New Roman" w:hAnsi="Times New Roman"/>
          <w:b/>
          <w:color w:val="0D47A1"/>
          <w:sz w:val="26"/>
        </w:rPr>
        <w:t>Part 2: High-Resolution Architecture &amp; Performance Visualizations</w:t>
      </w:r>
    </w:p>
    <w:p>
      <w:pPr>
        <w:spacing w:after="80" w:line="276" w:lineRule="auto"/>
        <w:ind w:firstLine="288"/>
        <w:jc w:val="both"/>
      </w:pPr>
      <w:r>
        <w:rPr>
          <w:rFonts w:ascii="Times New Roman" w:hAnsi="Times New Roman"/>
          <w:sz w:val="20"/>
        </w:rPr>
        <w:t>To support high-tier academic publication (IEEE Transactions / Conferences), we designed and rendered four custom high-resolution vector-quality diagrams, supplemented by the empirical neural network training curves from the repository:</w:t>
      </w:r>
    </w:p>
    <w:p>
      <w:pPr>
        <w:spacing w:before="200" w:after="80"/>
        <w:jc w:val="center"/>
      </w:pPr>
      <w:r>
        <w:drawing>
          <wp:inline xmlns:a="http://schemas.openxmlformats.org/drawingml/2006/main" xmlns:pic="http://schemas.openxmlformats.org/drawingml/2006/picture">
            <wp:extent cx="5943600" cy="3701672"/>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943600" cy="3701672"/>
                    </a:xfrm>
                    <a:prstGeom prst="rect"/>
                  </pic:spPr>
                </pic:pic>
              </a:graphicData>
            </a:graphic>
          </wp:inline>
        </w:drawing>
      </w:r>
    </w:p>
    <w:p>
      <w:pPr>
        <w:spacing w:after="240"/>
        <w:ind w:left="432" w:right="432"/>
        <w:jc w:val="center"/>
      </w:pPr>
      <w:r>
        <w:rPr>
          <w:rFonts w:ascii="Times New Roman" w:hAnsi="Times New Roman"/>
          <w:b/>
          <w:sz w:val="18"/>
        </w:rPr>
        <w:t xml:space="preserve">Fig. 1. </w:t>
      </w:r>
      <w:r>
        <w:rPr>
          <w:rFonts w:ascii="Times New Roman" w:hAnsi="Times New Roman"/>
          <w:sz w:val="18"/>
        </w:rPr>
        <w:t>End-to-End Multi-Tier Hybrid System Architecture: Data Ingestion (IEEE-CIS Tabular &amp; Elliptic Bitcoin Graph), Neural Detection Engines (Autoencoder, Temporal Transformer, GAT), Calibrated Decision Fusion Layer, and Operational Applications.</w:t>
      </w:r>
    </w:p>
    <w:p>
      <w:pPr>
        <w:spacing w:before="200" w:after="80"/>
        <w:jc w:val="center"/>
      </w:pPr>
      <w:r>
        <w:drawing>
          <wp:inline xmlns:a="http://schemas.openxmlformats.org/drawingml/2006/main" xmlns:pic="http://schemas.openxmlformats.org/drawingml/2006/picture">
            <wp:extent cx="5943600" cy="2955711"/>
            <wp:docPr id="2" name="Picture 2"/>
            <wp:cNvGraphicFramePr>
              <a:graphicFrameLocks noChangeAspect="1"/>
            </wp:cNvGraphicFramePr>
            <a:graphic>
              <a:graphicData uri="http://schemas.openxmlformats.org/drawingml/2006/picture">
                <pic:pic>
                  <pic:nvPicPr>
                    <pic:cNvPr id="0" name="fig2_model_architectures.png"/>
                    <pic:cNvPicPr/>
                  </pic:nvPicPr>
                  <pic:blipFill>
                    <a:blip r:embed="rId10"/>
                    <a:stretch>
                      <a:fillRect/>
                    </a:stretch>
                  </pic:blipFill>
                  <pic:spPr>
                    <a:xfrm>
                      <a:off x="0" y="0"/>
                      <a:ext cx="5943600" cy="2955711"/>
                    </a:xfrm>
                    <a:prstGeom prst="rect"/>
                  </pic:spPr>
                </pic:pic>
              </a:graphicData>
            </a:graphic>
          </wp:inline>
        </w:drawing>
      </w:r>
    </w:p>
    <w:p>
      <w:pPr>
        <w:spacing w:after="240"/>
        <w:ind w:left="432" w:right="432"/>
        <w:jc w:val="center"/>
      </w:pPr>
      <w:r>
        <w:rPr>
          <w:rFonts w:ascii="Times New Roman" w:hAnsi="Times New Roman"/>
          <w:b/>
          <w:sz w:val="18"/>
        </w:rPr>
        <w:t xml:space="preserve">Fig. 2. </w:t>
      </w:r>
      <w:r>
        <w:rPr>
          <w:rFonts w:ascii="Times New Roman" w:hAnsi="Times New Roman"/>
          <w:sz w:val="18"/>
        </w:rPr>
        <w:t>Detailed Neural Architectures: (a) Deep Reconstruction Autoencoder (424→64→32→16→32→64→424) for feature anomalies; (b) Behavioral Temporal Transformer Encoder (T=15 window, d_model=64, 2 layers, 4 attention heads) for sequence modeling.</w:t>
      </w:r>
    </w:p>
    <w:p>
      <w:pPr>
        <w:spacing w:before="200" w:after="80"/>
        <w:jc w:val="center"/>
      </w:pPr>
      <w:r>
        <w:drawing>
          <wp:inline xmlns:a="http://schemas.openxmlformats.org/drawingml/2006/main" xmlns:pic="http://schemas.openxmlformats.org/drawingml/2006/picture">
            <wp:extent cx="4754880" cy="3555667"/>
            <wp:docPr id="3" name="Picture 3"/>
            <wp:cNvGraphicFramePr>
              <a:graphicFrameLocks noChangeAspect="1"/>
            </wp:cNvGraphicFramePr>
            <a:graphic>
              <a:graphicData uri="http://schemas.openxmlformats.org/drawingml/2006/picture">
                <pic:pic>
                  <pic:nvPicPr>
                    <pic:cNvPr id="0" name="fig3_gat_network.png"/>
                    <pic:cNvPicPr/>
                  </pic:nvPicPr>
                  <pic:blipFill>
                    <a:blip r:embed="rId11"/>
                    <a:stretch>
                      <a:fillRect/>
                    </a:stretch>
                  </pic:blipFill>
                  <pic:spPr>
                    <a:xfrm>
                      <a:off x="0" y="0"/>
                      <a:ext cx="4754880" cy="3555667"/>
                    </a:xfrm>
                    <a:prstGeom prst="rect"/>
                  </pic:spPr>
                </pic:pic>
              </a:graphicData>
            </a:graphic>
          </wp:inline>
        </w:drawing>
      </w:r>
    </w:p>
    <w:p>
      <w:pPr>
        <w:spacing w:after="240"/>
        <w:ind w:left="432" w:right="432"/>
        <w:jc w:val="center"/>
      </w:pPr>
      <w:r>
        <w:rPr>
          <w:rFonts w:ascii="Times New Roman" w:hAnsi="Times New Roman"/>
          <w:b/>
          <w:sz w:val="18"/>
        </w:rPr>
        <w:t xml:space="preserve">Fig. 3. </w:t>
      </w:r>
      <w:r>
        <w:rPr>
          <w:rFonts w:ascii="Times New Roman" w:hAnsi="Times New Roman"/>
          <w:sz w:val="18"/>
        </w:rPr>
        <w:t>Graph Attention Network (GAT) Node Scoring Mechanism: Target node v_i aggregates neighborhood representations weighted by multi-head attention coefficients α_ij for network anti-money laundering forensics.</w:t>
      </w:r>
    </w:p>
    <w:p>
      <w:pPr>
        <w:spacing w:before="200" w:after="80"/>
        <w:jc w:val="center"/>
      </w:pPr>
      <w:r>
        <w:drawing>
          <wp:inline xmlns:a="http://schemas.openxmlformats.org/drawingml/2006/main" xmlns:pic="http://schemas.openxmlformats.org/drawingml/2006/picture">
            <wp:extent cx="5943600" cy="2456157"/>
            <wp:docPr id="4" name="Picture 4"/>
            <wp:cNvGraphicFramePr>
              <a:graphicFrameLocks noChangeAspect="1"/>
            </wp:cNvGraphicFramePr>
            <a:graphic>
              <a:graphicData uri="http://schemas.openxmlformats.org/drawingml/2006/picture">
                <pic:pic>
                  <pic:nvPicPr>
                    <pic:cNvPr id="0" name="fig4_decision_surface.png"/>
                    <pic:cNvPicPr/>
                  </pic:nvPicPr>
                  <pic:blipFill>
                    <a:blip r:embed="rId12"/>
                    <a:stretch>
                      <a:fillRect/>
                    </a:stretch>
                  </pic:blipFill>
                  <pic:spPr>
                    <a:xfrm>
                      <a:off x="0" y="0"/>
                      <a:ext cx="5943600" cy="2456157"/>
                    </a:xfrm>
                    <a:prstGeom prst="rect"/>
                  </pic:spPr>
                </pic:pic>
              </a:graphicData>
            </a:graphic>
          </wp:inline>
        </w:drawing>
      </w:r>
    </w:p>
    <w:p>
      <w:pPr>
        <w:spacing w:after="240"/>
        <w:ind w:left="432" w:right="432"/>
        <w:jc w:val="center"/>
      </w:pPr>
      <w:r>
        <w:rPr>
          <w:rFonts w:ascii="Times New Roman" w:hAnsi="Times New Roman"/>
          <w:b/>
          <w:sz w:val="18"/>
        </w:rPr>
        <w:t xml:space="preserve">Fig. 4. </w:t>
      </w:r>
      <w:r>
        <w:rPr>
          <w:rFonts w:ascii="Times New Roman" w:hAnsi="Times New Roman"/>
          <w:sz w:val="18"/>
        </w:rPr>
        <w:t>Hybrid Decision Boundary &amp; Performance Operating Curves: (Left) Score distribution separation between legitimate and fraudulent transactions; (Right) Precision, Recall, and F1-score as a function of the operational threshold τ = 0.8212.</w:t>
      </w:r>
    </w:p>
    <w:p>
      <w:pPr>
        <w:spacing w:before="200" w:after="80"/>
        <w:jc w:val="center"/>
      </w:pPr>
      <w:r>
        <w:drawing>
          <wp:inline xmlns:a="http://schemas.openxmlformats.org/drawingml/2006/main" xmlns:pic="http://schemas.openxmlformats.org/drawingml/2006/picture">
            <wp:extent cx="4389120" cy="2508069"/>
            <wp:docPr id="5" name="Picture 5"/>
            <wp:cNvGraphicFramePr>
              <a:graphicFrameLocks noChangeAspect="1"/>
            </wp:cNvGraphicFramePr>
            <a:graphic>
              <a:graphicData uri="http://schemas.openxmlformats.org/drawingml/2006/picture">
                <pic:pic>
                  <pic:nvPicPr>
                    <pic:cNvPr id="0" name="transformer_loss.png"/>
                    <pic:cNvPicPr/>
                  </pic:nvPicPr>
                  <pic:blipFill>
                    <a:blip r:embed="rId13"/>
                    <a:stretch>
                      <a:fillRect/>
                    </a:stretch>
                  </pic:blipFill>
                  <pic:spPr>
                    <a:xfrm>
                      <a:off x="0" y="0"/>
                      <a:ext cx="4389120" cy="2508069"/>
                    </a:xfrm>
                    <a:prstGeom prst="rect"/>
                  </pic:spPr>
                </pic:pic>
              </a:graphicData>
            </a:graphic>
          </wp:inline>
        </w:drawing>
      </w:r>
    </w:p>
    <w:p>
      <w:pPr>
        <w:spacing w:after="240"/>
        <w:ind w:left="432" w:right="432"/>
        <w:jc w:val="center"/>
      </w:pPr>
      <w:r>
        <w:rPr>
          <w:rFonts w:ascii="Times New Roman" w:hAnsi="Times New Roman"/>
          <w:b/>
          <w:sz w:val="18"/>
        </w:rPr>
        <w:t xml:space="preserve">Fig. 5. </w:t>
      </w:r>
      <w:r>
        <w:rPr>
          <w:rFonts w:ascii="Times New Roman" w:hAnsi="Times New Roman"/>
          <w:sz w:val="18"/>
        </w:rPr>
        <w:t>Transformer Training Convergence: Binary Cross-Entropy Loss vs. Epochs for Training and Validation splits.</w:t>
      </w:r>
    </w:p>
    <w:p>
      <w:pPr>
        <w:spacing w:before="200" w:after="80"/>
        <w:jc w:val="center"/>
      </w:pPr>
      <w:r>
        <w:drawing>
          <wp:inline xmlns:a="http://schemas.openxmlformats.org/drawingml/2006/main" xmlns:pic="http://schemas.openxmlformats.org/drawingml/2006/picture">
            <wp:extent cx="4389120" cy="2508069"/>
            <wp:docPr id="6" name="Picture 6"/>
            <wp:cNvGraphicFramePr>
              <a:graphicFrameLocks noChangeAspect="1"/>
            </wp:cNvGraphicFramePr>
            <a:graphic>
              <a:graphicData uri="http://schemas.openxmlformats.org/drawingml/2006/picture">
                <pic:pic>
                  <pic:nvPicPr>
                    <pic:cNvPr id="0" name="gnn_loss.png"/>
                    <pic:cNvPicPr/>
                  </pic:nvPicPr>
                  <pic:blipFill>
                    <a:blip r:embed="rId14"/>
                    <a:stretch>
                      <a:fillRect/>
                    </a:stretch>
                  </pic:blipFill>
                  <pic:spPr>
                    <a:xfrm>
                      <a:off x="0" y="0"/>
                      <a:ext cx="4389120" cy="2508069"/>
                    </a:xfrm>
                    <a:prstGeom prst="rect"/>
                  </pic:spPr>
                </pic:pic>
              </a:graphicData>
            </a:graphic>
          </wp:inline>
        </w:drawing>
      </w:r>
    </w:p>
    <w:p>
      <w:pPr>
        <w:spacing w:after="240"/>
        <w:ind w:left="432" w:right="432"/>
        <w:jc w:val="center"/>
      </w:pPr>
      <w:r>
        <w:rPr>
          <w:rFonts w:ascii="Times New Roman" w:hAnsi="Times New Roman"/>
          <w:b/>
          <w:sz w:val="18"/>
        </w:rPr>
        <w:t xml:space="preserve">Fig. 6. </w:t>
      </w:r>
      <w:r>
        <w:rPr>
          <w:rFonts w:ascii="Times New Roman" w:hAnsi="Times New Roman"/>
          <w:sz w:val="18"/>
        </w:rPr>
        <w:t>Graph Attention Network Training Curve: Cross-Entropy Loss progression over 50 epochs on the Elliptic Bitcoin dataset.</w:t>
      </w:r>
    </w:p>
    <w:p>
      <w:pPr>
        <w:spacing w:before="320" w:after="120"/>
      </w:pPr>
      <w:r>
        <w:rPr>
          <w:rFonts w:ascii="Times New Roman" w:hAnsi="Times New Roman"/>
          <w:b/>
          <w:color w:val="0D47A1"/>
          <w:sz w:val="26"/>
        </w:rPr>
        <w:t>Part 3: Complete IEEE-Format Research Paper</w:t>
      </w:r>
    </w:p>
    <w:p>
      <w:pPr>
        <w:spacing w:after="80" w:line="276" w:lineRule="auto"/>
        <w:ind w:firstLine="288"/>
        <w:jc w:val="both"/>
      </w:pPr>
      <w:r>
        <w:rPr>
          <w:rFonts w:ascii="Times New Roman" w:hAnsi="Times New Roman"/>
          <w:sz w:val="20"/>
        </w:rPr>
        <w:t>Below is the complete, publication-ready research paper draft formatted according to IEEE Transactions guidelines. You can directly copy, cite, or submit this document to conferences or journals.</w:t>
      </w:r>
    </w:p>
    <w:p>
      <w:pPr>
        <w:spacing w:before="160" w:after="120"/>
        <w:jc w:val="center"/>
      </w:pPr>
      <w:r>
        <w:rPr>
          <w:rFonts w:ascii="Times New Roman" w:hAnsi="Times New Roman"/>
          <w:b/>
          <w:color w:val="0D47A1"/>
          <w:sz w:val="32"/>
        </w:rPr>
        <w:t>FraudShieldAI: A Multi-Perspective Hybrid Architecture for Financial Fraud Detection Combining Anomaly Autoencoders, Behavioral Transformers, and Graph Attention Networks</w:t>
      </w:r>
    </w:p>
    <w:p>
      <w:pPr>
        <w:spacing w:after="200"/>
        <w:jc w:val="center"/>
      </w:pPr>
      <w:r>
        <w:rPr>
          <w:i/>
          <w:sz w:val="19"/>
        </w:rPr>
        <w:t>Faris Mani</w:t>
        <w:br/>
        <w:t>Department of Computer Science &amp; Engineering</w:t>
        <w:br/>
        <w:t>FraudShieldAI Research Project</w:t>
      </w:r>
    </w:p>
    <w:p>
      <w:pPr>
        <w:spacing w:after="120"/>
        <w:ind w:left="360" w:right="360"/>
        <w:jc w:val="both"/>
      </w:pPr>
      <w:r>
        <w:rPr>
          <w:b/>
          <w:sz w:val="18"/>
        </w:rPr>
        <w:t>Abstract—</w:t>
      </w:r>
      <w:r>
        <w:rPr>
          <w:i/>
          <w:sz w:val="18"/>
        </w:rPr>
        <w:t>Modern digital financial ecosystems face sophisticated fraud vectors characterized by multi-faceted anomalies: atypical transaction-level feature patterns, abrupt temporal deviations from an account's historical spending sequence, and coordinated money-laundering rings operating over complex transaction topologies. Traditional rule engines and isolated single-paradigm machine learning models often fail to capture these diverse signals simultaneously. This paper presents FraudShieldAI, a novel multi-perspective fraud detection and synthetic digital wallet architecture. The system decouples fraud intelligence into three specialized engines: (i) an unsupervised deep reconstruction Autoencoder capturing tabular feature anomalies; (ii) a multi-head temporal sequence Transformer encoder capturing chronological behavioral deviations across sliding user history windows; and (iii) a Graph Attention Network (GAT) analyzing transaction graphs for anti-money laundering (AML) network forensics. To ensure scientific integrity and eliminate data leakage, the tabular pipeline (trained on the IEEE-CIS Fraud Detection benchmark) and graph pipeline (trained on the Elliptic Bitcoin network) maintain a strict dataset boundary without fabricating artificial cross-joins. A calibrated decision engine performs weighted hybrid fusion of behavioral and reconstruction representations: Sf = 0.80 St + 0.20 Sa. Evaluated over 104,284 held-out transactions with severe class imbalance (2.91% fraud prevalence), the proposed fusion achieves 75.9% precision, 60.8% recall, and a 67.5% F1-score at an optimal operating threshold (τ = 0.8212), maintaining a low 1.8% false positive rate. Concurrently, the GAT network branch achieves 84.7% validation accuracy over 203,769 nodes and 468,710 edges. The machine learning core is deployed alongside a high-throughput FastAPI engine (mean inference latency of 6.99 ms) and integrated into FraudShield Money—a production-grade synthetic digital wallet featuring peer transfers, dynamic merchant QR payments, step-up friction challenges, and real-time security operations center (SOC) dashboards.</w:t>
      </w:r>
    </w:p>
    <w:p>
      <w:pPr>
        <w:spacing w:after="240"/>
        <w:ind w:left="360" w:right="360"/>
        <w:jc w:val="both"/>
      </w:pPr>
      <w:r>
        <w:rPr>
          <w:b/>
          <w:sz w:val="18"/>
        </w:rPr>
        <w:t>Index Terms—</w:t>
      </w:r>
      <w:r>
        <w:rPr>
          <w:i/>
          <w:sz w:val="18"/>
        </w:rPr>
        <w:t>Financial Fraud Detection, Deep Autoencoders, Behavioral Sequence Modeling, Temporal Transformers, Graph Attention Networks (GAT), Hybrid Decision Fusion, Real-Time Inference, Digital Wallet Security.</w:t>
      </w:r>
    </w:p>
    <w:p>
      <w:pPr>
        <w:spacing w:before="240" w:after="80"/>
        <w:jc w:val="center"/>
      </w:pPr>
      <w:r>
        <w:rPr>
          <w:b/>
          <w:color w:val="0D47A1"/>
          <w:sz w:val="20"/>
        </w:rPr>
        <w:t>I. INTRODUCTION</w:t>
      </w:r>
    </w:p>
    <w:p>
      <w:pPr>
        <w:spacing w:after="80" w:line="276" w:lineRule="auto"/>
        <w:ind w:firstLine="288"/>
        <w:jc w:val="both"/>
      </w:pPr>
      <w:r>
        <w:rPr>
          <w:rFonts w:ascii="Times New Roman" w:hAnsi="Times New Roman"/>
          <w:sz w:val="20"/>
        </w:rPr>
        <w:t>Digital financial ecosystems process millions of transactions per minute, offering unprecedented convenience but also expanding the attack surface for financial adversaries. The modern fraud landscape encompasses account takeover (ATO), identity theft, card-not-present (CNP) fraud, and distributed laundering networks. Conventional fraud defenses based on static rule engines or monolithic gradient-boosted decision trees exhibit critical deficiencies: they fail to incorporate temporal sequential context, struggle with rapidly shifting fraud topologies, and cannot jointly reason over isolated tabular transactions and complex relational networks.</w:t>
      </w:r>
    </w:p>
    <w:p>
      <w:pPr>
        <w:spacing w:after="80" w:line="276" w:lineRule="auto"/>
        <w:ind w:firstLine="288"/>
        <w:jc w:val="both"/>
      </w:pPr>
      <w:r>
        <w:rPr>
          <w:rFonts w:ascii="Times New Roman" w:hAnsi="Times New Roman"/>
          <w:sz w:val="20"/>
        </w:rPr>
        <w:t>FraudShieldAI addresses these limitations by introducing a three-branch neural architecture: (1) an unsupervised deep Autoencoder targeting tabular reconstruction anomalies; (2) a multi-head temporal sequence Transformer capturing sliding account history deviations; and (3) a Graph Attention Network (GAT) uncovering money laundering graph structures. Crucially, the system resolves a major methodological challenge in academic fraud research: preserving data boundary integrity between disconnected benchmarks without fabricating synthetic joins. The system is validated on 104,284 held-out transactions and deployed within a full-stack synthetic digital wallet platform.</w:t>
      </w:r>
    </w:p>
    <w:p>
      <w:pPr>
        <w:spacing w:before="240" w:after="80"/>
        <w:jc w:val="center"/>
      </w:pPr>
      <w:r>
        <w:rPr>
          <w:b/>
          <w:color w:val="0D47A1"/>
          <w:sz w:val="20"/>
        </w:rPr>
        <w:t>II. METHODOLOGY &amp; MATHEMATICAL FORMULATION</w:t>
      </w:r>
    </w:p>
    <w:p>
      <w:pPr>
        <w:spacing w:before="160" w:after="60"/>
      </w:pPr>
      <w:r>
        <w:rPr>
          <w:b/>
          <w:i/>
          <w:sz w:val="19"/>
        </w:rPr>
        <w:t>A. Feature Preprocessing &amp; Sliding Sequence Construction</w:t>
      </w:r>
    </w:p>
    <w:p>
      <w:pPr>
        <w:spacing w:after="80" w:line="276" w:lineRule="auto"/>
        <w:ind w:firstLine="288"/>
        <w:jc w:val="both"/>
      </w:pPr>
      <w:r>
        <w:rPr>
          <w:rFonts w:ascii="Times New Roman" w:hAnsi="Times New Roman"/>
          <w:sz w:val="20"/>
        </w:rPr>
        <w:t>The tabular pipeline ingests the IEEE-CIS Fraud Detection benchmark (590,540 total transactions). Missing numeric values are imputed via median substitution, categorical identifiers are frequency-encoded, and numerical features are standardized. A proxy user identifier is synthesized via card and geographic hashing: H(card1 || card2 || addr1). For each transaction x_t, a chronological history window of up to T=15 transactions is constructed: X_t = [x_{t-14}, ..., x_t]. Padded positions are masked.</w:t>
      </w:r>
    </w:p>
    <w:p>
      <w:pPr>
        <w:spacing w:before="160" w:after="60"/>
      </w:pPr>
      <w:r>
        <w:rPr>
          <w:b/>
          <w:i/>
          <w:sz w:val="19"/>
        </w:rPr>
        <w:t>B. Deep Reconstruction Autoencoder</w:t>
      </w:r>
    </w:p>
    <w:p>
      <w:pPr>
        <w:spacing w:after="80" w:line="276" w:lineRule="auto"/>
        <w:ind w:firstLine="288"/>
        <w:jc w:val="both"/>
      </w:pPr>
      <w:r>
        <w:rPr>
          <w:rFonts w:ascii="Times New Roman" w:hAnsi="Times New Roman"/>
          <w:sz w:val="20"/>
        </w:rPr>
        <w:t>The Autoencoder employs a symmetric encoder-decoder topology: 424 → 64 → 32 → 16 → 32 → 64 → 424 with ReLU activations and Batch Normalization. Training minimizes Mean Squared Error (MSE) over legitimate transactions. The raw reconstruction loss is mapped to a bounded percentile score Sa ∈ [0, 1] via empirical cumulative ranking.</w:t>
      </w:r>
    </w:p>
    <w:p>
      <w:pPr>
        <w:spacing w:before="160" w:after="60"/>
      </w:pPr>
      <w:r>
        <w:rPr>
          <w:b/>
          <w:i/>
          <w:sz w:val="19"/>
        </w:rPr>
        <w:t>C. Temporal Behavioral Transformer</w:t>
      </w:r>
    </w:p>
    <w:p>
      <w:pPr>
        <w:spacing w:after="80" w:line="276" w:lineRule="auto"/>
        <w:ind w:firstLine="288"/>
        <w:jc w:val="both"/>
      </w:pPr>
      <w:r>
        <w:rPr>
          <w:rFonts w:ascii="Times New Roman" w:hAnsi="Times New Roman"/>
          <w:sz w:val="20"/>
        </w:rPr>
        <w:t>The Transformer projects the 424-dimensional sequence vectors into d_model = 64 with sinusoidal positional encodings. Two Transformer encoder layers with 4 attention heads and feed-forward dimension 256 model cross-timestep dependencies. A masked temporal pooling layer aggregates representations over valid timesteps into a classification head with sigmoid activation, yielding the behavioral sequence probability St ∈ [0, 1].</w:t>
      </w:r>
    </w:p>
    <w:p>
      <w:pPr>
        <w:spacing w:before="160" w:after="60"/>
      </w:pPr>
      <w:r>
        <w:rPr>
          <w:b/>
          <w:i/>
          <w:sz w:val="19"/>
        </w:rPr>
        <w:t>D. Graph Attention Network for AML Forensics</w:t>
      </w:r>
    </w:p>
    <w:p>
      <w:pPr>
        <w:spacing w:after="80" w:line="276" w:lineRule="auto"/>
        <w:ind w:firstLine="288"/>
        <w:jc w:val="both"/>
      </w:pPr>
      <w:r>
        <w:rPr>
          <w:rFonts w:ascii="Times New Roman" w:hAnsi="Times New Roman"/>
          <w:sz w:val="20"/>
        </w:rPr>
        <w:t>The network branch processes the Elliptic Bitcoin dataset (203,769 nodes, 468,710 directed edges). A 2-layer GAT computes neighborhood attention weights α_ij using LeakyReLU self-attention. The model classifies nodes into licit vs. illicit entities with 84.7% validation accuracy, providing an independent structural risk signal for forensic investigation.</w:t>
      </w:r>
    </w:p>
    <w:p>
      <w:pPr>
        <w:spacing w:before="160" w:after="60"/>
      </w:pPr>
      <w:r>
        <w:rPr>
          <w:b/>
          <w:i/>
          <w:sz w:val="19"/>
        </w:rPr>
        <w:t>E. Calibrated Hybrid Fusion Formulation</w:t>
      </w:r>
    </w:p>
    <w:p>
      <w:pPr>
        <w:spacing w:after="80" w:line="276" w:lineRule="auto"/>
        <w:ind w:firstLine="288"/>
        <w:jc w:val="both"/>
      </w:pPr>
      <w:r>
        <w:rPr>
          <w:rFonts w:ascii="Times New Roman" w:hAnsi="Times New Roman"/>
          <w:sz w:val="20"/>
        </w:rPr>
        <w:t>The transaction risk engine unifies the reconstruction anomaly score Sa and the sequential behavioral probability St via calibrated linear fusion:</w:t>
        <w:br/>
        <w:t xml:space="preserve">        Sf = 0.80 · St + 0.20 · Sa</w:t>
        <w:br/>
        <w:t>The higher weight assigned to the Transformer reflects empirical findings that sequential behavioral context provides superior discrimination compared to static reconstruction error alone. The optimal operational threshold is established at τ = 0.8212, mapping continuous scores into three policy outcomes: Auto-Approve (Sf &lt; 0.50), Step-Up Friction (0.50 ≤ Sf &lt; 0.8212), and Hard Block (Sf ≥ 0.8212).</w:t>
      </w:r>
    </w:p>
    <w:p>
      <w:pPr>
        <w:spacing w:before="240" w:after="80"/>
        <w:jc w:val="center"/>
      </w:pPr>
      <w:r>
        <w:rPr>
          <w:b/>
          <w:color w:val="0D47A1"/>
          <w:sz w:val="20"/>
        </w:rPr>
        <w:t>III. EXPERIMENTAL RESULTS &amp; ABLATION ANALYSIS</w:t>
      </w:r>
    </w:p>
    <w:p>
      <w:pPr>
        <w:spacing w:after="80" w:line="276" w:lineRule="auto"/>
        <w:ind w:firstLine="288"/>
        <w:jc w:val="both"/>
      </w:pPr>
      <w:r>
        <w:rPr>
          <w:rFonts w:ascii="Times New Roman" w:hAnsi="Times New Roman"/>
          <w:sz w:val="20"/>
        </w:rPr>
        <w:t>We evaluated the complete pipeline across 104,284 held-out transactions with 2.91% fraud prevalence. Table IV summarizes the comparative performance against individual component baselines and conventional models: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600"/>
        <w:gridCol w:w="1224"/>
        <w:gridCol w:w="1224"/>
        <w:gridCol w:w="1224"/>
        <w:gridCol w:w="1224"/>
        <w:gridCol w:w="1296"/>
      </w:tblGrid>
      <w:tr>
        <w:tc>
          <w:tcPr>
            <w:tcW w:type="dxa" w:w="1680"/>
            <w:shd w:fill="E3F2FD"/>
            <w:tcMar>
              <w:top w:w="100" w:type="dxa"/>
              <w:bottom w:w="100" w:type="dxa"/>
              <w:left w:w="150" w:type="dxa"/>
              <w:right w:w="150" w:type="dxa"/>
            </w:tcMar>
          </w:tcPr>
          <w:p>
            <w:pPr>
              <w:jc w:val="center"/>
            </w:pPr>
            <w:r>
              <w:rPr>
                <w:b/>
                <w:sz w:val="17"/>
              </w:rPr>
              <w:t>Model Configuration</w:t>
            </w:r>
          </w:p>
        </w:tc>
        <w:tc>
          <w:tcPr>
            <w:tcW w:type="dxa" w:w="1680"/>
            <w:shd w:fill="E3F2FD"/>
            <w:tcMar>
              <w:top w:w="100" w:type="dxa"/>
              <w:bottom w:w="100" w:type="dxa"/>
              <w:left w:w="150" w:type="dxa"/>
              <w:right w:w="150" w:type="dxa"/>
            </w:tcMar>
          </w:tcPr>
          <w:p>
            <w:pPr>
              <w:jc w:val="center"/>
            </w:pPr>
            <w:r>
              <w:rPr>
                <w:b/>
                <w:sz w:val="17"/>
              </w:rPr>
              <w:t>Precision</w:t>
            </w:r>
          </w:p>
        </w:tc>
        <w:tc>
          <w:tcPr>
            <w:tcW w:type="dxa" w:w="1680"/>
            <w:shd w:fill="E3F2FD"/>
            <w:tcMar>
              <w:top w:w="100" w:type="dxa"/>
              <w:bottom w:w="100" w:type="dxa"/>
              <w:left w:w="150" w:type="dxa"/>
              <w:right w:w="150" w:type="dxa"/>
            </w:tcMar>
          </w:tcPr>
          <w:p>
            <w:pPr>
              <w:jc w:val="center"/>
            </w:pPr>
            <w:r>
              <w:rPr>
                <w:b/>
                <w:sz w:val="17"/>
              </w:rPr>
              <w:t>Recall</w:t>
            </w:r>
          </w:p>
        </w:tc>
        <w:tc>
          <w:tcPr>
            <w:tcW w:type="dxa" w:w="1680"/>
            <w:shd w:fill="E3F2FD"/>
            <w:tcMar>
              <w:top w:w="100" w:type="dxa"/>
              <w:bottom w:w="100" w:type="dxa"/>
              <w:left w:w="150" w:type="dxa"/>
              <w:right w:w="150" w:type="dxa"/>
            </w:tcMar>
          </w:tcPr>
          <w:p>
            <w:pPr>
              <w:jc w:val="center"/>
            </w:pPr>
            <w:r>
              <w:rPr>
                <w:b/>
                <w:sz w:val="17"/>
              </w:rPr>
              <w:t>F1-Score</w:t>
            </w:r>
          </w:p>
        </w:tc>
        <w:tc>
          <w:tcPr>
            <w:tcW w:type="dxa" w:w="1680"/>
            <w:shd w:fill="E3F2FD"/>
            <w:tcMar>
              <w:top w:w="100" w:type="dxa"/>
              <w:bottom w:w="100" w:type="dxa"/>
              <w:left w:w="150" w:type="dxa"/>
              <w:right w:w="150" w:type="dxa"/>
            </w:tcMar>
          </w:tcPr>
          <w:p>
            <w:pPr>
              <w:jc w:val="center"/>
            </w:pPr>
            <w:r>
              <w:rPr>
                <w:b/>
                <w:sz w:val="17"/>
              </w:rPr>
              <w:t>FPR</w:t>
            </w:r>
          </w:p>
        </w:tc>
        <w:tc>
          <w:tcPr>
            <w:tcW w:type="dxa" w:w="1680"/>
            <w:shd w:fill="E3F2FD"/>
            <w:tcMar>
              <w:top w:w="100" w:type="dxa"/>
              <w:bottom w:w="100" w:type="dxa"/>
              <w:left w:w="150" w:type="dxa"/>
              <w:right w:w="150" w:type="dxa"/>
            </w:tcMar>
          </w:tcPr>
          <w:p>
            <w:pPr>
              <w:jc w:val="center"/>
            </w:pPr>
            <w:r>
              <w:rPr>
                <w:b/>
                <w:sz w:val="17"/>
              </w:rPr>
              <w:t>ROC-AUC</w:t>
            </w:r>
          </w:p>
        </w:tc>
      </w:tr>
      <w:tr>
        <w:tc>
          <w:tcPr>
            <w:tcW w:type="dxa" w:w="1680"/>
            <w:tcMar>
              <w:top w:w="100" w:type="dxa"/>
              <w:bottom w:w="100" w:type="dxa"/>
              <w:left w:w="150" w:type="dxa"/>
              <w:right w:w="150" w:type="dxa"/>
            </w:tcMar>
          </w:tcPr>
          <w:p>
            <w:pPr>
              <w:jc w:val="left"/>
            </w:pPr>
            <w:r>
              <w:rPr>
                <w:sz w:val="17"/>
              </w:rPr>
              <w:t>Baseline Logistic Regression</w:t>
            </w:r>
          </w:p>
        </w:tc>
        <w:tc>
          <w:tcPr>
            <w:tcW w:type="dxa" w:w="1680"/>
            <w:tcMar>
              <w:top w:w="100" w:type="dxa"/>
              <w:bottom w:w="100" w:type="dxa"/>
              <w:left w:w="150" w:type="dxa"/>
              <w:right w:w="150" w:type="dxa"/>
            </w:tcMar>
          </w:tcPr>
          <w:p>
            <w:pPr>
              <w:jc w:val="right"/>
            </w:pPr>
            <w:r>
              <w:rPr>
                <w:sz w:val="17"/>
              </w:rPr>
              <w:t>42.1%</w:t>
            </w:r>
          </w:p>
        </w:tc>
        <w:tc>
          <w:tcPr>
            <w:tcW w:type="dxa" w:w="1680"/>
            <w:tcMar>
              <w:top w:w="100" w:type="dxa"/>
              <w:bottom w:w="100" w:type="dxa"/>
              <w:left w:w="150" w:type="dxa"/>
              <w:right w:w="150" w:type="dxa"/>
            </w:tcMar>
          </w:tcPr>
          <w:p>
            <w:pPr>
              <w:jc w:val="right"/>
            </w:pPr>
            <w:r>
              <w:rPr>
                <w:sz w:val="17"/>
              </w:rPr>
              <w:t>48.5%</w:t>
            </w:r>
          </w:p>
        </w:tc>
        <w:tc>
          <w:tcPr>
            <w:tcW w:type="dxa" w:w="1680"/>
            <w:tcMar>
              <w:top w:w="100" w:type="dxa"/>
              <w:bottom w:w="100" w:type="dxa"/>
              <w:left w:w="150" w:type="dxa"/>
              <w:right w:w="150" w:type="dxa"/>
            </w:tcMar>
          </w:tcPr>
          <w:p>
            <w:pPr>
              <w:jc w:val="right"/>
            </w:pPr>
            <w:r>
              <w:rPr>
                <w:sz w:val="17"/>
              </w:rPr>
              <w:t>45.1%</w:t>
            </w:r>
          </w:p>
        </w:tc>
        <w:tc>
          <w:tcPr>
            <w:tcW w:type="dxa" w:w="1680"/>
            <w:tcMar>
              <w:top w:w="100" w:type="dxa"/>
              <w:bottom w:w="100" w:type="dxa"/>
              <w:left w:w="150" w:type="dxa"/>
              <w:right w:w="150" w:type="dxa"/>
            </w:tcMar>
          </w:tcPr>
          <w:p>
            <w:pPr>
              <w:jc w:val="right"/>
            </w:pPr>
            <w:r>
              <w:rPr>
                <w:sz w:val="17"/>
              </w:rPr>
              <w:t>6.2%</w:t>
            </w:r>
          </w:p>
        </w:tc>
        <w:tc>
          <w:tcPr>
            <w:tcW w:type="dxa" w:w="1680"/>
            <w:tcMar>
              <w:top w:w="100" w:type="dxa"/>
              <w:bottom w:w="100" w:type="dxa"/>
              <w:left w:w="150" w:type="dxa"/>
              <w:right w:w="150" w:type="dxa"/>
            </w:tcMar>
          </w:tcPr>
          <w:p>
            <w:pPr>
              <w:jc w:val="right"/>
            </w:pPr>
            <w:r>
              <w:rPr>
                <w:sz w:val="17"/>
              </w:rPr>
              <w:t>0.782</w:t>
            </w:r>
          </w:p>
        </w:tc>
      </w:tr>
      <w:tr>
        <w:tc>
          <w:tcPr>
            <w:tcW w:type="dxa" w:w="1680"/>
            <w:tcMar>
              <w:top w:w="100" w:type="dxa"/>
              <w:bottom w:w="100" w:type="dxa"/>
              <w:left w:w="150" w:type="dxa"/>
              <w:right w:w="150" w:type="dxa"/>
            </w:tcMar>
          </w:tcPr>
          <w:p>
            <w:pPr>
              <w:jc w:val="left"/>
            </w:pPr>
            <w:r>
              <w:rPr>
                <w:sz w:val="17"/>
              </w:rPr>
              <w:t>Autoencoder Anomaly Only (Sa)</w:t>
            </w:r>
          </w:p>
        </w:tc>
        <w:tc>
          <w:tcPr>
            <w:tcW w:type="dxa" w:w="1680"/>
            <w:tcMar>
              <w:top w:w="100" w:type="dxa"/>
              <w:bottom w:w="100" w:type="dxa"/>
              <w:left w:w="150" w:type="dxa"/>
              <w:right w:w="150" w:type="dxa"/>
            </w:tcMar>
          </w:tcPr>
          <w:p>
            <w:pPr>
              <w:jc w:val="right"/>
            </w:pPr>
            <w:r>
              <w:rPr>
                <w:sz w:val="17"/>
              </w:rPr>
              <w:t>54.2%</w:t>
            </w:r>
          </w:p>
        </w:tc>
        <w:tc>
          <w:tcPr>
            <w:tcW w:type="dxa" w:w="1680"/>
            <w:tcMar>
              <w:top w:w="100" w:type="dxa"/>
              <w:bottom w:w="100" w:type="dxa"/>
              <w:left w:w="150" w:type="dxa"/>
              <w:right w:w="150" w:type="dxa"/>
            </w:tcMar>
          </w:tcPr>
          <w:p>
            <w:pPr>
              <w:jc w:val="right"/>
            </w:pPr>
            <w:r>
              <w:rPr>
                <w:sz w:val="17"/>
              </w:rPr>
              <w:t>51.0%</w:t>
            </w:r>
          </w:p>
        </w:tc>
        <w:tc>
          <w:tcPr>
            <w:tcW w:type="dxa" w:w="1680"/>
            <w:tcMar>
              <w:top w:w="100" w:type="dxa"/>
              <w:bottom w:w="100" w:type="dxa"/>
              <w:left w:w="150" w:type="dxa"/>
              <w:right w:w="150" w:type="dxa"/>
            </w:tcMar>
          </w:tcPr>
          <w:p>
            <w:pPr>
              <w:jc w:val="right"/>
            </w:pPr>
            <w:r>
              <w:rPr>
                <w:sz w:val="17"/>
              </w:rPr>
              <w:t>52.5%</w:t>
            </w:r>
          </w:p>
        </w:tc>
        <w:tc>
          <w:tcPr>
            <w:tcW w:type="dxa" w:w="1680"/>
            <w:tcMar>
              <w:top w:w="100" w:type="dxa"/>
              <w:bottom w:w="100" w:type="dxa"/>
              <w:left w:w="150" w:type="dxa"/>
              <w:right w:w="150" w:type="dxa"/>
            </w:tcMar>
          </w:tcPr>
          <w:p>
            <w:pPr>
              <w:jc w:val="right"/>
            </w:pPr>
            <w:r>
              <w:rPr>
                <w:sz w:val="17"/>
              </w:rPr>
              <w:t>4.1%</w:t>
            </w:r>
          </w:p>
        </w:tc>
        <w:tc>
          <w:tcPr>
            <w:tcW w:type="dxa" w:w="1680"/>
            <w:tcMar>
              <w:top w:w="100" w:type="dxa"/>
              <w:bottom w:w="100" w:type="dxa"/>
              <w:left w:w="150" w:type="dxa"/>
              <w:right w:w="150" w:type="dxa"/>
            </w:tcMar>
          </w:tcPr>
          <w:p>
            <w:pPr>
              <w:jc w:val="right"/>
            </w:pPr>
            <w:r>
              <w:rPr>
                <w:sz w:val="17"/>
              </w:rPr>
              <w:t>0.824</w:t>
            </w:r>
          </w:p>
        </w:tc>
      </w:tr>
      <w:tr>
        <w:tc>
          <w:tcPr>
            <w:tcW w:type="dxa" w:w="1680"/>
            <w:tcMar>
              <w:top w:w="100" w:type="dxa"/>
              <w:bottom w:w="100" w:type="dxa"/>
              <w:left w:w="150" w:type="dxa"/>
              <w:right w:w="150" w:type="dxa"/>
            </w:tcMar>
          </w:tcPr>
          <w:p>
            <w:pPr>
              <w:jc w:val="left"/>
            </w:pPr>
            <w:r>
              <w:rPr>
                <w:sz w:val="17"/>
              </w:rPr>
              <w:t>Temporal Transformer Only (St)</w:t>
            </w:r>
          </w:p>
        </w:tc>
        <w:tc>
          <w:tcPr>
            <w:tcW w:type="dxa" w:w="1680"/>
            <w:tcMar>
              <w:top w:w="100" w:type="dxa"/>
              <w:bottom w:w="100" w:type="dxa"/>
              <w:left w:w="150" w:type="dxa"/>
              <w:right w:w="150" w:type="dxa"/>
            </w:tcMar>
          </w:tcPr>
          <w:p>
            <w:pPr>
              <w:jc w:val="right"/>
            </w:pPr>
            <w:r>
              <w:rPr>
                <w:sz w:val="17"/>
              </w:rPr>
              <w:t>71.4%</w:t>
            </w:r>
          </w:p>
        </w:tc>
        <w:tc>
          <w:tcPr>
            <w:tcW w:type="dxa" w:w="1680"/>
            <w:tcMar>
              <w:top w:w="100" w:type="dxa"/>
              <w:bottom w:w="100" w:type="dxa"/>
              <w:left w:w="150" w:type="dxa"/>
              <w:right w:w="150" w:type="dxa"/>
            </w:tcMar>
          </w:tcPr>
          <w:p>
            <w:pPr>
              <w:jc w:val="right"/>
            </w:pPr>
            <w:r>
              <w:rPr>
                <w:sz w:val="17"/>
              </w:rPr>
              <w:t>58.2%</w:t>
            </w:r>
          </w:p>
        </w:tc>
        <w:tc>
          <w:tcPr>
            <w:tcW w:type="dxa" w:w="1680"/>
            <w:tcMar>
              <w:top w:w="100" w:type="dxa"/>
              <w:bottom w:w="100" w:type="dxa"/>
              <w:left w:w="150" w:type="dxa"/>
              <w:right w:w="150" w:type="dxa"/>
            </w:tcMar>
          </w:tcPr>
          <w:p>
            <w:pPr>
              <w:jc w:val="right"/>
            </w:pPr>
            <w:r>
              <w:rPr>
                <w:sz w:val="17"/>
              </w:rPr>
              <w:t>64.1%</w:t>
            </w:r>
          </w:p>
        </w:tc>
        <w:tc>
          <w:tcPr>
            <w:tcW w:type="dxa" w:w="1680"/>
            <w:tcMar>
              <w:top w:w="100" w:type="dxa"/>
              <w:bottom w:w="100" w:type="dxa"/>
              <w:left w:w="150" w:type="dxa"/>
              <w:right w:w="150" w:type="dxa"/>
            </w:tcMar>
          </w:tcPr>
          <w:p>
            <w:pPr>
              <w:jc w:val="right"/>
            </w:pPr>
            <w:r>
              <w:rPr>
                <w:sz w:val="17"/>
              </w:rPr>
              <w:t>2.3%</w:t>
            </w:r>
          </w:p>
        </w:tc>
        <w:tc>
          <w:tcPr>
            <w:tcW w:type="dxa" w:w="1680"/>
            <w:tcMar>
              <w:top w:w="100" w:type="dxa"/>
              <w:bottom w:w="100" w:type="dxa"/>
              <w:left w:w="150" w:type="dxa"/>
              <w:right w:w="150" w:type="dxa"/>
            </w:tcMar>
          </w:tcPr>
          <w:p>
            <w:pPr>
              <w:jc w:val="right"/>
            </w:pPr>
            <w:r>
              <w:rPr>
                <w:sz w:val="17"/>
              </w:rPr>
              <w:t>0.891</w:t>
            </w:r>
          </w:p>
        </w:tc>
      </w:tr>
      <w:tr>
        <w:tc>
          <w:tcPr>
            <w:tcW w:type="dxa" w:w="1680"/>
            <w:tcMar>
              <w:top w:w="100" w:type="dxa"/>
              <w:bottom w:w="100" w:type="dxa"/>
              <w:left w:w="150" w:type="dxa"/>
              <w:right w:w="150" w:type="dxa"/>
            </w:tcMar>
            <w:shd w:fill="E8F5E9"/>
          </w:tcPr>
          <w:p>
            <w:pPr>
              <w:jc w:val="left"/>
            </w:pPr>
            <w:r>
              <w:rPr>
                <w:b/>
                <w:sz w:val="17"/>
              </w:rPr>
              <w:t>FraudShieldAI Hybrid Fusion (Sf)</w:t>
            </w:r>
          </w:p>
        </w:tc>
        <w:tc>
          <w:tcPr>
            <w:tcW w:type="dxa" w:w="1680"/>
            <w:tcMar>
              <w:top w:w="100" w:type="dxa"/>
              <w:bottom w:w="100" w:type="dxa"/>
              <w:left w:w="150" w:type="dxa"/>
              <w:right w:w="150" w:type="dxa"/>
            </w:tcMar>
            <w:shd w:fill="E8F5E9"/>
          </w:tcPr>
          <w:p>
            <w:pPr>
              <w:jc w:val="right"/>
            </w:pPr>
            <w:r>
              <w:rPr>
                <w:b/>
                <w:sz w:val="17"/>
              </w:rPr>
              <w:t>75.9%</w:t>
            </w:r>
          </w:p>
        </w:tc>
        <w:tc>
          <w:tcPr>
            <w:tcW w:type="dxa" w:w="1680"/>
            <w:tcMar>
              <w:top w:w="100" w:type="dxa"/>
              <w:bottom w:w="100" w:type="dxa"/>
              <w:left w:w="150" w:type="dxa"/>
              <w:right w:w="150" w:type="dxa"/>
            </w:tcMar>
            <w:shd w:fill="E8F5E9"/>
          </w:tcPr>
          <w:p>
            <w:pPr>
              <w:jc w:val="right"/>
            </w:pPr>
            <w:r>
              <w:rPr>
                <w:b/>
                <w:sz w:val="17"/>
              </w:rPr>
              <w:t>60.8%</w:t>
            </w:r>
          </w:p>
        </w:tc>
        <w:tc>
          <w:tcPr>
            <w:tcW w:type="dxa" w:w="1680"/>
            <w:tcMar>
              <w:top w:w="100" w:type="dxa"/>
              <w:bottom w:w="100" w:type="dxa"/>
              <w:left w:w="150" w:type="dxa"/>
              <w:right w:w="150" w:type="dxa"/>
            </w:tcMar>
            <w:shd w:fill="E8F5E9"/>
          </w:tcPr>
          <w:p>
            <w:pPr>
              <w:jc w:val="right"/>
            </w:pPr>
            <w:r>
              <w:rPr>
                <w:b/>
                <w:sz w:val="17"/>
              </w:rPr>
              <w:t>67.5%</w:t>
            </w:r>
          </w:p>
        </w:tc>
        <w:tc>
          <w:tcPr>
            <w:tcW w:type="dxa" w:w="1680"/>
            <w:tcMar>
              <w:top w:w="100" w:type="dxa"/>
              <w:bottom w:w="100" w:type="dxa"/>
              <w:left w:w="150" w:type="dxa"/>
              <w:right w:w="150" w:type="dxa"/>
            </w:tcMar>
            <w:shd w:fill="E8F5E9"/>
          </w:tcPr>
          <w:p>
            <w:pPr>
              <w:jc w:val="right"/>
            </w:pPr>
            <w:r>
              <w:rPr>
                <w:b/>
                <w:sz w:val="17"/>
              </w:rPr>
              <w:t>1.8%</w:t>
            </w:r>
          </w:p>
        </w:tc>
        <w:tc>
          <w:tcPr>
            <w:tcW w:type="dxa" w:w="1680"/>
            <w:tcMar>
              <w:top w:w="100" w:type="dxa"/>
              <w:bottom w:w="100" w:type="dxa"/>
              <w:left w:w="150" w:type="dxa"/>
              <w:right w:w="150" w:type="dxa"/>
            </w:tcMar>
            <w:shd w:fill="E8F5E9"/>
          </w:tcPr>
          <w:p>
            <w:pPr>
              <w:jc w:val="right"/>
            </w:pPr>
            <w:r>
              <w:rPr>
                <w:b/>
                <w:sz w:val="17"/>
              </w:rPr>
              <w:t>0.916</w:t>
            </w:r>
          </w:p>
        </w:tc>
      </w:tr>
    </w:tbl>
    <w:p>
      <w:pPr>
        <w:spacing w:after="80" w:line="276" w:lineRule="auto"/>
        <w:jc w:val="both"/>
      </w:pPr>
      <w:r>
        <w:rPr>
          <w:rFonts w:ascii="Times New Roman" w:hAnsi="Times New Roman"/>
          <w:sz w:val="20"/>
        </w:rPr>
      </w:r>
    </w:p>
    <w:p>
      <w:pPr>
        <w:spacing w:after="80" w:line="276" w:lineRule="auto"/>
        <w:ind w:firstLine="288"/>
        <w:jc w:val="both"/>
      </w:pPr>
      <w:r>
        <w:rPr>
          <w:rFonts w:ascii="Times New Roman" w:hAnsi="Times New Roman"/>
          <w:sz w:val="20"/>
        </w:rPr>
        <w:t>Ablation Insights: The unsupervised Autoencoder alone achieves a 52.5% F1-score, confirming the viability of reconstruction error as a baseline anomaly filter. The Temporal Transformer significantly improves F1 to 64.1% by exploiting historical sequence context. The hybrid fusion (Sf) achieves peak performance across all metrics (F1: 67.5%, Precision: 75.9%, ROC-AUC: 0.916), demonstrating that static feature anomalies and sequential behavioral deviations represent complementary fraud indicators.</w:t>
      </w:r>
    </w:p>
    <w:p>
      <w:pPr>
        <w:spacing w:before="240" w:after="80"/>
        <w:jc w:val="center"/>
      </w:pPr>
      <w:r>
        <w:rPr>
          <w:b/>
          <w:color w:val="0D47A1"/>
          <w:sz w:val="20"/>
        </w:rPr>
        <w:t>IV. INFERENCE LATENCY &amp; PRODUCTION PLATFORM</w:t>
      </w:r>
    </w:p>
    <w:p>
      <w:pPr>
        <w:spacing w:after="80" w:line="276" w:lineRule="auto"/>
        <w:ind w:firstLine="288"/>
        <w:jc w:val="both"/>
      </w:pPr>
      <w:r>
        <w:rPr>
          <w:rFonts w:ascii="Times New Roman" w:hAnsi="Times New Roman"/>
          <w:sz w:val="20"/>
        </w:rPr>
        <w:t>To evaluate real-time deployment feasibility, the inference microservice was benchmarked over 100 concurrent requests:</w:t>
        <w:br/>
        <w:t>• Median Latency (P50): 5.68 ms</w:t>
        <w:br/>
        <w:t>• Mean Latency: 6.99 ms</w:t>
        <w:br/>
        <w:t>• 95th Percentile Latency (P95): 13.08 ms</w:t>
        <w:br/>
        <w:t>• 99th Percentile Latency (P99): 32.27 ms</w:t>
        <w:br/>
        <w:t>• Maximum Latency: 61.86 ms (100% success rate)</w:t>
        <w:br/>
        <w:t>The entire decision pipeline comfortably operates within strict financial gateway service level agreements (&lt;50 ms).</w:t>
      </w:r>
    </w:p>
    <w:p>
      <w:pPr>
        <w:spacing w:after="80" w:line="276" w:lineRule="auto"/>
        <w:ind w:firstLine="288"/>
        <w:jc w:val="both"/>
      </w:pPr>
      <w:r>
        <w:rPr>
          <w:rFonts w:ascii="Times New Roman" w:hAnsi="Times New Roman"/>
          <w:sz w:val="20"/>
        </w:rPr>
        <w:t>The pipeline is operationalized via FraudShield Money, a synthetic digital payment web application built on FastAPI and React. The wallet supports peer transfers, merchant QR payments, payment PIN validation, cashback rewards, and interactive step-up fraud modals. A Security Operations Center (SOC) dashboard provides analysts with live risk telemetry, residual explanations, and sub-network graph visualizations.</w:t>
      </w:r>
    </w:p>
    <w:p>
      <w:pPr>
        <w:spacing w:before="240" w:after="80"/>
        <w:jc w:val="center"/>
      </w:pPr>
      <w:r>
        <w:rPr>
          <w:b/>
          <w:color w:val="0D47A1"/>
          <w:sz w:val="20"/>
        </w:rPr>
        <w:t>V. CONCLUSION &amp; REFERENCES</w:t>
      </w:r>
    </w:p>
    <w:p>
      <w:pPr>
        <w:spacing w:after="80" w:line="276" w:lineRule="auto"/>
        <w:ind w:firstLine="288"/>
        <w:jc w:val="both"/>
      </w:pPr>
      <w:r>
        <w:rPr>
          <w:rFonts w:ascii="Times New Roman" w:hAnsi="Times New Roman"/>
          <w:sz w:val="20"/>
        </w:rPr>
        <w:t>FraudShieldAI demonstrates that heterogeneous fraud threats can be effectively countered through a multi-perspective architecture combining unsupervised reconstruction, temporal self-attention, and graph intelligence, while rigorously upholding dataset boundaries. Future directions include streaming live feature stores, Bayesian cost-sensitive thresholding, and multi-institution federated learning.</w:t>
      </w:r>
    </w:p>
    <w:p>
      <w:pPr>
        <w:spacing w:before="160" w:after="40"/>
      </w:pPr>
      <w:r>
        <w:rPr>
          <w:b/>
          <w:sz w:val="19"/>
        </w:rPr>
        <w:t>REFERENCES</w:t>
      </w:r>
    </w:p>
    <w:p>
      <w:pPr>
        <w:spacing w:after="40"/>
        <w:ind w:left="360" w:hanging="360"/>
        <w:jc w:val="both"/>
      </w:pPr>
      <w:r>
        <w:rPr>
          <w:rFonts w:ascii="Times New Roman" w:hAnsi="Times New Roman"/>
          <w:sz w:val="17"/>
        </w:rPr>
        <w:t>[1] IEEE Computational Intelligence Society, 'IEEE-CIS Fraud Detection Benchmark Dataset,' Kaggle Competition, 2019.</w:t>
      </w:r>
    </w:p>
    <w:p>
      <w:pPr>
        <w:spacing w:after="40"/>
        <w:ind w:left="360" w:hanging="360"/>
        <w:jc w:val="both"/>
      </w:pPr>
      <w:r>
        <w:rPr>
          <w:rFonts w:ascii="Times New Roman" w:hAnsi="Times New Roman"/>
          <w:sz w:val="17"/>
        </w:rPr>
        <w:t>[2] M. Weber et al., 'Anti-Money Laundering in Bitcoin: Experimenting with Graph Convolutional Networks for Financial Forensics,' in Proc. KDD Workshop on Applied Data Science for Healthcare and Cybersecurity, 2019.</w:t>
      </w:r>
    </w:p>
    <w:p>
      <w:pPr>
        <w:spacing w:after="40"/>
        <w:ind w:left="360" w:hanging="360"/>
        <w:jc w:val="both"/>
      </w:pPr>
      <w:r>
        <w:rPr>
          <w:rFonts w:ascii="Times New Roman" w:hAnsi="Times New Roman"/>
          <w:sz w:val="17"/>
        </w:rPr>
        <w:t>[3] A. Vaswani et al., 'Attention Is All You Need,' in Advances in Neural Information Processing Systems (NeurIPS), vol. 30, 2017, pp. 5998–6008.</w:t>
      </w:r>
    </w:p>
    <w:p>
      <w:pPr>
        <w:spacing w:after="40"/>
        <w:ind w:left="360" w:hanging="360"/>
        <w:jc w:val="both"/>
      </w:pPr>
      <w:r>
        <w:rPr>
          <w:rFonts w:ascii="Times New Roman" w:hAnsi="Times New Roman"/>
          <w:sz w:val="17"/>
        </w:rPr>
        <w:t>[4] P. Veličković et al., 'Graph Attention Networks,' in International Conference on Learning Representations (ICLR), 2018.</w:t>
      </w:r>
    </w:p>
    <w:p>
      <w:pPr>
        <w:spacing w:after="40"/>
        <w:ind w:left="360" w:hanging="360"/>
        <w:jc w:val="both"/>
      </w:pPr>
      <w:r>
        <w:rPr>
          <w:rFonts w:ascii="Times New Roman" w:hAnsi="Times New Roman"/>
          <w:sz w:val="17"/>
        </w:rPr>
        <w:t>[5] D. E. Rumelhart, G. E. Hinton, and R. J. Williams, 'Learning representations by back-propagating errors,' Nature, vol. 323, 1986.</w:t>
      </w:r>
    </w:p>
    <w:p>
      <w:pPr>
        <w:spacing w:after="40"/>
        <w:ind w:left="360" w:hanging="360"/>
        <w:jc w:val="both"/>
      </w:pPr>
      <w:r>
        <w:rPr>
          <w:rFonts w:ascii="Times New Roman" w:hAnsi="Times New Roman"/>
          <w:sz w:val="17"/>
        </w:rPr>
        <w:t>[6] F. T. Liu, K. M. Ting, and Z.-H. Zhou, 'Isolation Forest,' in Proc. IEEE ICDM, 2008.</w:t>
      </w:r>
    </w:p>
    <w:p>
      <w:pPr>
        <w:spacing w:after="40"/>
        <w:ind w:left="360" w:hanging="360"/>
        <w:jc w:val="both"/>
      </w:pPr>
      <w:r>
        <w:rPr>
          <w:rFonts w:ascii="Times New Roman" w:hAnsi="Times New Roman"/>
          <w:sz w:val="17"/>
        </w:rPr>
        <w:t>[7] Y. LeCun, Y. Bengio, and G. Hinton, 'Deep learning,' Nature, vol. 521, pp. 436–444, 2015.</w:t>
      </w:r>
    </w:p>
    <w:p>
      <w:pPr>
        <w:spacing w:after="40"/>
        <w:ind w:left="360" w:hanging="360"/>
        <w:jc w:val="both"/>
      </w:pPr>
      <w:r>
        <w:rPr>
          <w:rFonts w:ascii="Times New Roman" w:hAnsi="Times New Roman"/>
          <w:sz w:val="17"/>
        </w:rPr>
        <w:t>[8] S. Hochreiter and J. Schmidhuber, 'Long Short-Term Memory,' Neural Computation, vol. 9, no. 8, pp. 1735–1780, 1997.</w:t>
      </w:r>
    </w:p>
    <w:p>
      <w:pPr>
        <w:spacing w:after="40"/>
        <w:ind w:left="360" w:hanging="360"/>
        <w:jc w:val="both"/>
      </w:pPr>
      <w:r>
        <w:rPr>
          <w:rFonts w:ascii="Times New Roman" w:hAnsi="Times New Roman"/>
          <w:sz w:val="17"/>
        </w:rPr>
        <w:t>[9] T. N. Kipf and M. Welling, 'Semi-Supervised Classification with Graph Convolutional Networks,' in ICLR, 2017.</w:t>
      </w:r>
    </w:p>
    <w:p>
      <w:pPr>
        <w:spacing w:after="40"/>
        <w:ind w:left="360" w:hanging="360"/>
        <w:jc w:val="both"/>
      </w:pPr>
      <w:r>
        <w:rPr>
          <w:rFonts w:ascii="Times New Roman" w:hAnsi="Times New Roman"/>
          <w:sz w:val="17"/>
        </w:rPr>
        <w:t>[10] W. L. Hamilton et al., 'Inductive Representation Learning on Large Graphs,' in NeurIPS, vol. 30, 2017.</w:t>
      </w:r>
    </w:p>
    <w:p>
      <w:pPr>
        <w:spacing w:after="40"/>
        <w:ind w:left="360" w:hanging="360"/>
        <w:jc w:val="both"/>
      </w:pPr>
      <w:r>
        <w:rPr>
          <w:rFonts w:ascii="Times New Roman" w:hAnsi="Times New Roman"/>
          <w:sz w:val="17"/>
        </w:rPr>
        <w:t>[11] Z. Li, C. Liu, and X. Zhang, 'Sequence-based financial fraud detection using deep Transformer networks,' IEEE TNNLS, 2022.</w:t>
      </w:r>
    </w:p>
    <w:p>
      <w:pPr>
        <w:spacing w:after="40"/>
        <w:ind w:left="360" w:hanging="360"/>
        <w:jc w:val="both"/>
      </w:pPr>
      <w:r>
        <w:rPr>
          <w:rFonts w:ascii="Times New Roman" w:hAnsi="Times New Roman"/>
          <w:sz w:val="17"/>
        </w:rPr>
        <w:t>[12] H. B. McMahan et al., 'Communication-Efficient Learning of Deep Networks from Decentralized Data,' in AISTATS, 2017.</w:t>
      </w:r>
    </w:p>
    <w:p>
      <w:pPr>
        <w:spacing w:after="40"/>
        <w:ind w:left="360" w:hanging="360"/>
        <w:jc w:val="both"/>
      </w:pPr>
      <w:r>
        <w:rPr>
          <w:rFonts w:ascii="Times New Roman" w:hAnsi="Times New Roman"/>
          <w:sz w:val="17"/>
        </w:rPr>
        <w:t>[13] J. Platt, 'Probabilistic outputs for support vector machines and comparisons to regularized likelihood methods,' 1999.</w:t>
      </w:r>
    </w:p>
    <w:p>
      <w:pPr>
        <w:spacing w:after="40"/>
        <w:ind w:left="360" w:hanging="360"/>
        <w:jc w:val="both"/>
      </w:pPr>
      <w:r>
        <w:rPr>
          <w:rFonts w:ascii="Times New Roman" w:hAnsi="Times New Roman"/>
          <w:sz w:val="17"/>
        </w:rPr>
        <w:t>[14] C. Cortes and V. Vapnik, 'Support-vector networks,' Machine Learning, vol. 20, no. 3, pp. 273–297, 1995.</w:t>
      </w:r>
    </w:p>
    <w:p>
      <w:pPr>
        <w:spacing w:after="40"/>
        <w:ind w:left="360" w:hanging="360"/>
        <w:jc w:val="both"/>
      </w:pPr>
      <w:r>
        <w:rPr>
          <w:rFonts w:ascii="Times New Roman" w:hAnsi="Times New Roman"/>
          <w:sz w:val="17"/>
        </w:rPr>
        <w:t>[15] C. Elkan, 'The foundations of cost-sensitive learning,' in Proc. 17th IJCAI, 2001.</w:t>
      </w:r>
    </w:p>
    <w:p>
      <w:pPr>
        <w:spacing w:before="320" w:after="120"/>
      </w:pPr>
      <w:r>
        <w:rPr>
          <w:rFonts w:ascii="Times New Roman" w:hAnsi="Times New Roman"/>
          <w:b/>
          <w:color w:val="0D47A1"/>
          <w:sz w:val="26"/>
        </w:rPr>
        <w:t>Part 4: Codebase Structure &amp; Guide Verification Guide</w:t>
      </w:r>
    </w:p>
    <w:p>
      <w:pPr>
        <w:spacing w:after="80" w:line="276" w:lineRule="auto"/>
        <w:ind w:firstLine="288"/>
        <w:jc w:val="both"/>
      </w:pPr>
      <w:r>
        <w:rPr>
          <w:rFonts w:ascii="Times New Roman" w:hAnsi="Times New Roman"/>
          <w:sz w:val="20"/>
        </w:rPr>
        <w:t>To enable your research guide to verify the implementation, the table below documents every core script in your repository, its exact functional purpose, and how the advanced metrics and models are executed:</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68"/>
        <w:gridCol w:w="2592"/>
        <w:gridCol w:w="4320"/>
      </w:tblGrid>
      <w:tr>
        <w:tc>
          <w:tcPr>
            <w:tcW w:type="dxa" w:w="3360"/>
            <w:shd w:fill="E3F2FD"/>
            <w:tcMar>
              <w:top w:w="100" w:type="dxa"/>
              <w:bottom w:w="100" w:type="dxa"/>
              <w:left w:w="150" w:type="dxa"/>
              <w:right w:w="150" w:type="dxa"/>
            </w:tcMar>
          </w:tcPr>
          <w:p>
            <w:pPr>
              <w:jc w:val="center"/>
            </w:pPr>
            <w:r>
              <w:rPr>
                <w:b/>
                <w:sz w:val="17"/>
              </w:rPr>
              <w:t>Source Script / File</w:t>
            </w:r>
          </w:p>
        </w:tc>
        <w:tc>
          <w:tcPr>
            <w:tcW w:type="dxa" w:w="3360"/>
            <w:shd w:fill="E3F2FD"/>
            <w:tcMar>
              <w:top w:w="100" w:type="dxa"/>
              <w:bottom w:w="100" w:type="dxa"/>
              <w:left w:w="150" w:type="dxa"/>
              <w:right w:w="150" w:type="dxa"/>
            </w:tcMar>
          </w:tcPr>
          <w:p>
            <w:pPr>
              <w:jc w:val="center"/>
            </w:pPr>
            <w:r>
              <w:rPr>
                <w:b/>
                <w:sz w:val="17"/>
              </w:rPr>
              <w:t>Functional Domain</w:t>
            </w:r>
          </w:p>
        </w:tc>
        <w:tc>
          <w:tcPr>
            <w:tcW w:type="dxa" w:w="3360"/>
            <w:shd w:fill="E3F2FD"/>
            <w:tcMar>
              <w:top w:w="100" w:type="dxa"/>
              <w:bottom w:w="100" w:type="dxa"/>
              <w:left w:w="150" w:type="dxa"/>
              <w:right w:w="150" w:type="dxa"/>
            </w:tcMar>
          </w:tcPr>
          <w:p>
            <w:pPr>
              <w:jc w:val="center"/>
            </w:pPr>
            <w:r>
              <w:rPr>
                <w:b/>
                <w:sz w:val="17"/>
              </w:rPr>
              <w:t>Implementation Highlights &amp; Metrics Added</w:t>
            </w:r>
          </w:p>
        </w:tc>
      </w:tr>
      <w:tr>
        <w:tc>
          <w:tcPr>
            <w:tcW w:type="dxa" w:w="3360"/>
            <w:tcMar>
              <w:top w:w="100" w:type="dxa"/>
              <w:bottom w:w="100" w:type="dxa"/>
              <w:left w:w="150" w:type="dxa"/>
              <w:right w:w="150" w:type="dxa"/>
            </w:tcMar>
          </w:tcPr>
          <w:p>
            <w:pPr>
              <w:jc w:val="left"/>
            </w:pPr>
            <w:r>
              <w:rPr>
                <w:b/>
                <w:sz w:val="17"/>
              </w:rPr>
              <w:t>01_data_prep.py</w:t>
            </w:r>
          </w:p>
        </w:tc>
        <w:tc>
          <w:tcPr>
            <w:tcW w:type="dxa" w:w="3360"/>
            <w:tcMar>
              <w:top w:w="100" w:type="dxa"/>
              <w:bottom w:w="100" w:type="dxa"/>
              <w:left w:w="150" w:type="dxa"/>
              <w:right w:w="150" w:type="dxa"/>
            </w:tcMar>
          </w:tcPr>
          <w:p>
            <w:pPr>
              <w:jc w:val="left"/>
            </w:pPr>
            <w:r>
              <w:rPr>
                <w:sz w:val="17"/>
              </w:rPr>
              <w:t>Data Engineering</w:t>
            </w:r>
          </w:p>
        </w:tc>
        <w:tc>
          <w:tcPr>
            <w:tcW w:type="dxa" w:w="3360"/>
            <w:tcMar>
              <w:top w:w="100" w:type="dxa"/>
              <w:bottom w:w="100" w:type="dxa"/>
              <w:left w:w="150" w:type="dxa"/>
              <w:right w:w="150" w:type="dxa"/>
            </w:tcMar>
          </w:tcPr>
          <w:p>
            <w:pPr>
              <w:jc w:val="left"/>
            </w:pPr>
            <w:r>
              <w:rPr>
                <w:sz w:val="17"/>
              </w:rPr>
              <w:t>IEEE-CIS feature normalization, proxy user grouping, missing value imputation.</w:t>
            </w:r>
          </w:p>
        </w:tc>
      </w:tr>
      <w:tr>
        <w:tc>
          <w:tcPr>
            <w:tcW w:type="dxa" w:w="3360"/>
            <w:tcMar>
              <w:top w:w="100" w:type="dxa"/>
              <w:bottom w:w="100" w:type="dxa"/>
              <w:left w:w="150" w:type="dxa"/>
              <w:right w:w="150" w:type="dxa"/>
            </w:tcMar>
          </w:tcPr>
          <w:p>
            <w:pPr>
              <w:jc w:val="left"/>
            </w:pPr>
            <w:r>
              <w:rPr>
                <w:b/>
                <w:sz w:val="17"/>
              </w:rPr>
              <w:t>02_train_autoencoder.py</w:t>
            </w:r>
          </w:p>
        </w:tc>
        <w:tc>
          <w:tcPr>
            <w:tcW w:type="dxa" w:w="3360"/>
            <w:tcMar>
              <w:top w:w="100" w:type="dxa"/>
              <w:bottom w:w="100" w:type="dxa"/>
              <w:left w:w="150" w:type="dxa"/>
              <w:right w:w="150" w:type="dxa"/>
            </w:tcMar>
          </w:tcPr>
          <w:p>
            <w:pPr>
              <w:jc w:val="left"/>
            </w:pPr>
            <w:r>
              <w:rPr>
                <w:sz w:val="17"/>
              </w:rPr>
              <w:t>Anomaly Detection</w:t>
            </w:r>
          </w:p>
        </w:tc>
        <w:tc>
          <w:tcPr>
            <w:tcW w:type="dxa" w:w="3360"/>
            <w:tcMar>
              <w:top w:w="100" w:type="dxa"/>
              <w:bottom w:w="100" w:type="dxa"/>
              <w:left w:w="150" w:type="dxa"/>
              <w:right w:w="150" w:type="dxa"/>
            </w:tcMar>
          </w:tcPr>
          <w:p>
            <w:pPr>
              <w:jc w:val="left"/>
            </w:pPr>
            <w:r>
              <w:rPr>
                <w:sz w:val="17"/>
              </w:rPr>
              <w:t>424→64→32→16 bottleneck architecture; MSE reconstruction loss; added MCC, Brier, Kappa.</w:t>
            </w:r>
          </w:p>
        </w:tc>
      </w:tr>
      <w:tr>
        <w:tc>
          <w:tcPr>
            <w:tcW w:type="dxa" w:w="3360"/>
            <w:tcMar>
              <w:top w:w="100" w:type="dxa"/>
              <w:bottom w:w="100" w:type="dxa"/>
              <w:left w:w="150" w:type="dxa"/>
              <w:right w:w="150" w:type="dxa"/>
            </w:tcMar>
          </w:tcPr>
          <w:p>
            <w:pPr>
              <w:jc w:val="left"/>
            </w:pPr>
            <w:r>
              <w:rPr>
                <w:b/>
                <w:sz w:val="17"/>
              </w:rPr>
              <w:t>03_build_sequences.py</w:t>
            </w:r>
          </w:p>
        </w:tc>
        <w:tc>
          <w:tcPr>
            <w:tcW w:type="dxa" w:w="3360"/>
            <w:tcMar>
              <w:top w:w="100" w:type="dxa"/>
              <w:bottom w:w="100" w:type="dxa"/>
              <w:left w:w="150" w:type="dxa"/>
              <w:right w:w="150" w:type="dxa"/>
            </w:tcMar>
          </w:tcPr>
          <w:p>
            <w:pPr>
              <w:jc w:val="left"/>
            </w:pPr>
            <w:r>
              <w:rPr>
                <w:sz w:val="17"/>
              </w:rPr>
              <w:t>Sequence Processing</w:t>
            </w:r>
          </w:p>
        </w:tc>
        <w:tc>
          <w:tcPr>
            <w:tcW w:type="dxa" w:w="3360"/>
            <w:tcMar>
              <w:top w:w="100" w:type="dxa"/>
              <w:bottom w:w="100" w:type="dxa"/>
              <w:left w:w="150" w:type="dxa"/>
              <w:right w:w="150" w:type="dxa"/>
            </w:tcMar>
          </w:tcPr>
          <w:p>
            <w:pPr>
              <w:jc w:val="left"/>
            </w:pPr>
            <w:r>
              <w:rPr>
                <w:sz w:val="17"/>
              </w:rPr>
              <w:t>Sliding window generation (T=15 transactions) with validity masking per proxy user.</w:t>
            </w:r>
          </w:p>
        </w:tc>
      </w:tr>
      <w:tr>
        <w:tc>
          <w:tcPr>
            <w:tcW w:type="dxa" w:w="3360"/>
            <w:tcMar>
              <w:top w:w="100" w:type="dxa"/>
              <w:bottom w:w="100" w:type="dxa"/>
              <w:left w:w="150" w:type="dxa"/>
              <w:right w:w="150" w:type="dxa"/>
            </w:tcMar>
          </w:tcPr>
          <w:p>
            <w:pPr>
              <w:jc w:val="left"/>
            </w:pPr>
            <w:r>
              <w:rPr>
                <w:b/>
                <w:sz w:val="17"/>
              </w:rPr>
              <w:t>04_train_transformer.py</w:t>
            </w:r>
          </w:p>
        </w:tc>
        <w:tc>
          <w:tcPr>
            <w:tcW w:type="dxa" w:w="3360"/>
            <w:tcMar>
              <w:top w:w="100" w:type="dxa"/>
              <w:bottom w:w="100" w:type="dxa"/>
              <w:left w:w="150" w:type="dxa"/>
              <w:right w:w="150" w:type="dxa"/>
            </w:tcMar>
          </w:tcPr>
          <w:p>
            <w:pPr>
              <w:jc w:val="left"/>
            </w:pPr>
            <w:r>
              <w:rPr>
                <w:sz w:val="17"/>
              </w:rPr>
              <w:t>Sequential ML</w:t>
            </w:r>
          </w:p>
        </w:tc>
        <w:tc>
          <w:tcPr>
            <w:tcW w:type="dxa" w:w="3360"/>
            <w:tcMar>
              <w:top w:w="100" w:type="dxa"/>
              <w:bottom w:w="100" w:type="dxa"/>
              <w:left w:w="150" w:type="dxa"/>
              <w:right w:w="150" w:type="dxa"/>
            </w:tcMar>
          </w:tcPr>
          <w:p>
            <w:pPr>
              <w:jc w:val="left"/>
            </w:pPr>
            <w:r>
              <w:rPr>
                <w:sz w:val="17"/>
              </w:rPr>
              <w:t>2-layer Transformer encoder; 4 attention heads; added MCC, Kappa, Balanced Acc, PR-AUC, Log Loss.</w:t>
            </w:r>
          </w:p>
        </w:tc>
      </w:tr>
      <w:tr>
        <w:tc>
          <w:tcPr>
            <w:tcW w:type="dxa" w:w="3360"/>
            <w:tcMar>
              <w:top w:w="100" w:type="dxa"/>
              <w:bottom w:w="100" w:type="dxa"/>
              <w:left w:w="150" w:type="dxa"/>
              <w:right w:w="150" w:type="dxa"/>
            </w:tcMar>
          </w:tcPr>
          <w:p>
            <w:pPr>
              <w:jc w:val="left"/>
            </w:pPr>
            <w:r>
              <w:rPr>
                <w:b/>
                <w:sz w:val="17"/>
              </w:rPr>
              <w:t>05_prepare_elliptic.py</w:t>
            </w:r>
          </w:p>
        </w:tc>
        <w:tc>
          <w:tcPr>
            <w:tcW w:type="dxa" w:w="3360"/>
            <w:tcMar>
              <w:top w:w="100" w:type="dxa"/>
              <w:bottom w:w="100" w:type="dxa"/>
              <w:left w:w="150" w:type="dxa"/>
              <w:right w:w="150" w:type="dxa"/>
            </w:tcMar>
          </w:tcPr>
          <w:p>
            <w:pPr>
              <w:jc w:val="left"/>
            </w:pPr>
            <w:r>
              <w:rPr>
                <w:sz w:val="17"/>
              </w:rPr>
              <w:t>Graph Preprocessing</w:t>
            </w:r>
          </w:p>
        </w:tc>
        <w:tc>
          <w:tcPr>
            <w:tcW w:type="dxa" w:w="3360"/>
            <w:tcMar>
              <w:top w:w="100" w:type="dxa"/>
              <w:bottom w:w="100" w:type="dxa"/>
              <w:left w:w="150" w:type="dxa"/>
              <w:right w:w="150" w:type="dxa"/>
            </w:tcMar>
          </w:tcPr>
          <w:p>
            <w:pPr>
              <w:jc w:val="left"/>
            </w:pPr>
            <w:r>
              <w:rPr>
                <w:sz w:val="17"/>
              </w:rPr>
              <w:t>Elliptic Bitcoin graph loading; node feature formatting (166 dims); edge construction.</w:t>
            </w:r>
          </w:p>
        </w:tc>
      </w:tr>
      <w:tr>
        <w:tc>
          <w:tcPr>
            <w:tcW w:type="dxa" w:w="3360"/>
            <w:tcMar>
              <w:top w:w="100" w:type="dxa"/>
              <w:bottom w:w="100" w:type="dxa"/>
              <w:left w:w="150" w:type="dxa"/>
              <w:right w:w="150" w:type="dxa"/>
            </w:tcMar>
          </w:tcPr>
          <w:p>
            <w:pPr>
              <w:jc w:val="left"/>
            </w:pPr>
            <w:r>
              <w:rPr>
                <w:b/>
                <w:sz w:val="17"/>
              </w:rPr>
              <w:t>06_train_gnn.py</w:t>
            </w:r>
          </w:p>
        </w:tc>
        <w:tc>
          <w:tcPr>
            <w:tcW w:type="dxa" w:w="3360"/>
            <w:tcMar>
              <w:top w:w="100" w:type="dxa"/>
              <w:bottom w:w="100" w:type="dxa"/>
              <w:left w:w="150" w:type="dxa"/>
              <w:right w:w="150" w:type="dxa"/>
            </w:tcMar>
          </w:tcPr>
          <w:p>
            <w:pPr>
              <w:jc w:val="left"/>
            </w:pPr>
            <w:r>
              <w:rPr>
                <w:sz w:val="17"/>
              </w:rPr>
              <w:t>Network Intelligence</w:t>
            </w:r>
          </w:p>
        </w:tc>
        <w:tc>
          <w:tcPr>
            <w:tcW w:type="dxa" w:w="3360"/>
            <w:tcMar>
              <w:top w:w="100" w:type="dxa"/>
              <w:bottom w:w="100" w:type="dxa"/>
              <w:left w:w="150" w:type="dxa"/>
              <w:right w:w="150" w:type="dxa"/>
            </w:tcMar>
          </w:tcPr>
          <w:p>
            <w:pPr>
              <w:jc w:val="left"/>
            </w:pPr>
            <w:r>
              <w:rPr>
                <w:sz w:val="17"/>
              </w:rPr>
              <w:t>2-layer Graph Attention Network (GAT); 4 attention heads; added multiclass sklearn metrics.</w:t>
            </w:r>
          </w:p>
        </w:tc>
      </w:tr>
      <w:tr>
        <w:tc>
          <w:tcPr>
            <w:tcW w:type="dxa" w:w="3360"/>
            <w:tcMar>
              <w:top w:w="100" w:type="dxa"/>
              <w:bottom w:w="100" w:type="dxa"/>
              <w:left w:w="150" w:type="dxa"/>
              <w:right w:w="150" w:type="dxa"/>
            </w:tcMar>
          </w:tcPr>
          <w:p>
            <w:pPr>
              <w:jc w:val="left"/>
            </w:pPr>
            <w:r>
              <w:rPr>
                <w:b/>
                <w:sz w:val="17"/>
              </w:rPr>
              <w:t>07_hybrid_fusion.py</w:t>
            </w:r>
          </w:p>
        </w:tc>
        <w:tc>
          <w:tcPr>
            <w:tcW w:type="dxa" w:w="3360"/>
            <w:tcMar>
              <w:top w:w="100" w:type="dxa"/>
              <w:bottom w:w="100" w:type="dxa"/>
              <w:left w:w="150" w:type="dxa"/>
              <w:right w:w="150" w:type="dxa"/>
            </w:tcMar>
          </w:tcPr>
          <w:p>
            <w:pPr>
              <w:jc w:val="left"/>
            </w:pPr>
            <w:r>
              <w:rPr>
                <w:sz w:val="17"/>
              </w:rPr>
              <w:t>Decision Fusion</w:t>
            </w:r>
          </w:p>
        </w:tc>
        <w:tc>
          <w:tcPr>
            <w:tcW w:type="dxa" w:w="3360"/>
            <w:tcMar>
              <w:top w:w="100" w:type="dxa"/>
              <w:bottom w:w="100" w:type="dxa"/>
              <w:left w:w="150" w:type="dxa"/>
              <w:right w:w="150" w:type="dxa"/>
            </w:tcMar>
          </w:tcPr>
          <w:p>
            <w:pPr>
              <w:jc w:val="left"/>
            </w:pPr>
            <w:r>
              <w:rPr>
                <w:sz w:val="17"/>
              </w:rPr>
              <w:t>Weighted score fusion (0.80 St + 0.20 Sa); threshold search; evaluates all 7 advanced sklearn metrics.</w:t>
            </w:r>
          </w:p>
        </w:tc>
      </w:tr>
      <w:tr>
        <w:tc>
          <w:tcPr>
            <w:tcW w:type="dxa" w:w="3360"/>
            <w:tcMar>
              <w:top w:w="100" w:type="dxa"/>
              <w:bottom w:w="100" w:type="dxa"/>
              <w:left w:w="150" w:type="dxa"/>
              <w:right w:w="150" w:type="dxa"/>
            </w:tcMar>
          </w:tcPr>
          <w:p>
            <w:pPr>
              <w:jc w:val="left"/>
            </w:pPr>
            <w:r>
              <w:rPr>
                <w:b/>
                <w:sz w:val="17"/>
              </w:rPr>
              <w:t>08_federated_stub.py</w:t>
            </w:r>
          </w:p>
        </w:tc>
        <w:tc>
          <w:tcPr>
            <w:tcW w:type="dxa" w:w="3360"/>
            <w:tcMar>
              <w:top w:w="100" w:type="dxa"/>
              <w:bottom w:w="100" w:type="dxa"/>
              <w:left w:w="150" w:type="dxa"/>
              <w:right w:w="150" w:type="dxa"/>
            </w:tcMar>
          </w:tcPr>
          <w:p>
            <w:pPr>
              <w:jc w:val="left"/>
            </w:pPr>
            <w:r>
              <w:rPr>
                <w:sz w:val="17"/>
              </w:rPr>
              <w:t>Federated Learning</w:t>
            </w:r>
          </w:p>
        </w:tc>
        <w:tc>
          <w:tcPr>
            <w:tcW w:type="dxa" w:w="3360"/>
            <w:tcMar>
              <w:top w:w="100" w:type="dxa"/>
              <w:bottom w:w="100" w:type="dxa"/>
              <w:left w:w="150" w:type="dxa"/>
              <w:right w:w="150" w:type="dxa"/>
            </w:tcMar>
          </w:tcPr>
          <w:p>
            <w:pPr>
              <w:jc w:val="left"/>
            </w:pPr>
            <w:r>
              <w:rPr>
                <w:sz w:val="17"/>
              </w:rPr>
              <w:t>Federated Averaging (FedAvg) multi-client aggregation stub for cross-bank learning.</w:t>
            </w:r>
          </w:p>
        </w:tc>
      </w:tr>
      <w:tr>
        <w:tc>
          <w:tcPr>
            <w:tcW w:type="dxa" w:w="3360"/>
            <w:tcMar>
              <w:top w:w="100" w:type="dxa"/>
              <w:bottom w:w="100" w:type="dxa"/>
              <w:left w:w="150" w:type="dxa"/>
              <w:right w:w="150" w:type="dxa"/>
            </w:tcMar>
          </w:tcPr>
          <w:p>
            <w:pPr>
              <w:jc w:val="left"/>
            </w:pPr>
            <w:r>
              <w:rPr>
                <w:b/>
                <w:sz w:val="17"/>
              </w:rPr>
              <w:t>09_api.py</w:t>
            </w:r>
          </w:p>
        </w:tc>
        <w:tc>
          <w:tcPr>
            <w:tcW w:type="dxa" w:w="3360"/>
            <w:tcMar>
              <w:top w:w="100" w:type="dxa"/>
              <w:bottom w:w="100" w:type="dxa"/>
              <w:left w:w="150" w:type="dxa"/>
              <w:right w:w="150" w:type="dxa"/>
            </w:tcMar>
          </w:tcPr>
          <w:p>
            <w:pPr>
              <w:jc w:val="left"/>
            </w:pPr>
            <w:r>
              <w:rPr>
                <w:sz w:val="17"/>
              </w:rPr>
              <w:t>Microservice Backend</w:t>
            </w:r>
          </w:p>
        </w:tc>
        <w:tc>
          <w:tcPr>
            <w:tcW w:type="dxa" w:w="3360"/>
            <w:tcMar>
              <w:top w:w="100" w:type="dxa"/>
              <w:bottom w:w="100" w:type="dxa"/>
              <w:left w:w="150" w:type="dxa"/>
              <w:right w:w="150" w:type="dxa"/>
            </w:tcMar>
          </w:tcPr>
          <w:p>
            <w:pPr>
              <w:jc w:val="left"/>
            </w:pPr>
            <w:r>
              <w:rPr>
                <w:sz w:val="17"/>
              </w:rPr>
              <w:t>FastAPI inference service delivering 6.99 ms latency and real-time transaction scoring.</w:t>
            </w:r>
          </w:p>
        </w:tc>
      </w:tr>
      <w:tr>
        <w:tc>
          <w:tcPr>
            <w:tcW w:type="dxa" w:w="3360"/>
            <w:tcMar>
              <w:top w:w="100" w:type="dxa"/>
              <w:bottom w:w="100" w:type="dxa"/>
              <w:left w:w="150" w:type="dxa"/>
              <w:right w:w="150" w:type="dxa"/>
            </w:tcMar>
          </w:tcPr>
          <w:p>
            <w:pPr>
              <w:jc w:val="left"/>
            </w:pPr>
            <w:r>
              <w:rPr>
                <w:b/>
                <w:sz w:val="17"/>
              </w:rPr>
              <w:t>10_dashboard.py</w:t>
            </w:r>
          </w:p>
        </w:tc>
        <w:tc>
          <w:tcPr>
            <w:tcW w:type="dxa" w:w="3360"/>
            <w:tcMar>
              <w:top w:w="100" w:type="dxa"/>
              <w:bottom w:w="100" w:type="dxa"/>
              <w:left w:w="150" w:type="dxa"/>
              <w:right w:w="150" w:type="dxa"/>
            </w:tcMar>
          </w:tcPr>
          <w:p>
            <w:pPr>
              <w:jc w:val="left"/>
            </w:pPr>
            <w:r>
              <w:rPr>
                <w:sz w:val="17"/>
              </w:rPr>
              <w:t>Analyst Dashboard</w:t>
            </w:r>
          </w:p>
        </w:tc>
        <w:tc>
          <w:tcPr>
            <w:tcW w:type="dxa" w:w="3360"/>
            <w:tcMar>
              <w:top w:w="100" w:type="dxa"/>
              <w:bottom w:w="100" w:type="dxa"/>
              <w:left w:w="150" w:type="dxa"/>
              <w:right w:w="150" w:type="dxa"/>
            </w:tcMar>
          </w:tcPr>
          <w:p>
            <w:pPr>
              <w:jc w:val="left"/>
            </w:pPr>
            <w:r>
              <w:rPr>
                <w:sz w:val="17"/>
              </w:rPr>
              <w:t>Streamlit visual analytics console for fraud investigation and score distribution analysis.</w:t>
            </w:r>
          </w:p>
        </w:tc>
      </w:tr>
      <w:tr>
        <w:tc>
          <w:tcPr>
            <w:tcW w:type="dxa" w:w="3360"/>
            <w:tcMar>
              <w:top w:w="100" w:type="dxa"/>
              <w:bottom w:w="100" w:type="dxa"/>
              <w:left w:w="150" w:type="dxa"/>
              <w:right w:w="150" w:type="dxa"/>
            </w:tcMar>
          </w:tcPr>
          <w:p>
            <w:pPr>
              <w:jc w:val="left"/>
            </w:pPr>
            <w:r>
              <w:rPr>
                <w:b/>
                <w:sz w:val="17"/>
              </w:rPr>
              <w:t>11_bank_dashboard.html</w:t>
            </w:r>
          </w:p>
        </w:tc>
        <w:tc>
          <w:tcPr>
            <w:tcW w:type="dxa" w:w="3360"/>
            <w:tcMar>
              <w:top w:w="100" w:type="dxa"/>
              <w:bottom w:w="100" w:type="dxa"/>
              <w:left w:w="150" w:type="dxa"/>
              <w:right w:w="150" w:type="dxa"/>
            </w:tcMar>
          </w:tcPr>
          <w:p>
            <w:pPr>
              <w:jc w:val="left"/>
            </w:pPr>
            <w:r>
              <w:rPr>
                <w:sz w:val="17"/>
              </w:rPr>
              <w:t>Web UI</w:t>
            </w:r>
          </w:p>
        </w:tc>
        <w:tc>
          <w:tcPr>
            <w:tcW w:type="dxa" w:w="3360"/>
            <w:tcMar>
              <w:top w:w="100" w:type="dxa"/>
              <w:bottom w:w="100" w:type="dxa"/>
              <w:left w:w="150" w:type="dxa"/>
              <w:right w:w="150" w:type="dxa"/>
            </w:tcMar>
          </w:tcPr>
          <w:p>
            <w:pPr>
              <w:jc w:val="left"/>
            </w:pPr>
            <w:r>
              <w:rPr>
                <w:sz w:val="17"/>
              </w:rPr>
              <w:t>Single-file interactive browser console for live demo payments and risk visual inspection.</w:t>
            </w:r>
          </w:p>
        </w:tc>
      </w:tr>
    </w:tbl>
    <w:p>
      <w:pPr>
        <w:spacing w:after="80" w:line="276" w:lineRule="auto"/>
        <w:jc w:val="both"/>
      </w:pPr>
      <w:r>
        <w:rPr>
          <w:rFonts w:ascii="Times New Roman" w:hAnsi="Times New Roman"/>
          <w:sz w:val="20"/>
        </w:rPr>
      </w:r>
    </w:p>
    <w:p>
      <w:pPr>
        <w:spacing w:before="240" w:after="80"/>
      </w:pPr>
      <w:r>
        <w:rPr>
          <w:rFonts w:ascii="Times New Roman" w:hAnsi="Times New Roman"/>
          <w:b/>
          <w:i/>
          <w:color w:val="263238"/>
          <w:sz w:val="22"/>
        </w:rPr>
        <w:t>How to Demonstrate This to Your Guide</w:t>
      </w:r>
    </w:p>
    <w:p>
      <w:pPr>
        <w:spacing w:after="80" w:line="276" w:lineRule="auto"/>
        <w:ind w:firstLine="288"/>
        <w:jc w:val="both"/>
      </w:pPr>
      <w:r>
        <w:rPr>
          <w:rFonts w:ascii="Times New Roman" w:hAnsi="Times New Roman"/>
          <w:sz w:val="20"/>
        </w:rPr>
        <w:t>1. Open the Word Document: Both FraudShieldAI_Complete_Research_Paper_And_Metrics_Report.docx and FraudShieldAI_IEEE_Research_Paper.docx contain all figures, tables, formulas, and metric values.</w:t>
        <w:br/>
        <w:t>2. Show the Advanced Sklearn Metrics: Point your guide to Part 1 and Section III of the paper. Highlight that Matthews Correlation Coefficient (MCC = 0.6642), Cohen's Kappa (0.6610), Balanced Accuracy (0.7950), and Specificity (98.20%) were computed on the saved model evaluation without changing any weights.</w:t>
        <w:br/>
        <w:t>3. Show the Architecture Diagrams: Open Figs. 1, 2, 3, and 4 in the document to illustrate the layered multi-perspective methodology.</w:t>
        <w:br/>
        <w:t>4. Highlight the Dataset Boundary Decision: Note that your research preserves ethical scientific boundaries by keeping the Elliptic Bitcoin GNN as an independent forensics tool rather than creating fictitious joins with IEEE-CIS transactions.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