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0A2342"/>
          <w:sz w:val="44"/>
          <w:szCs w:val="44"/>
        </w:rPr>
        <w:t xml:space="preserve">ClinicalRiskPredictor</w:t>
      </w:r>
    </w:p>
    <w:p>
      <w:pPr>
        <w:spacing w:after="160" w:before="0"/>
      </w:pPr>
      <w:r>
        <w:rPr>
          <w:rFonts w:ascii="Arial" w:cs="Arial" w:eastAsia="Arial" w:hAnsi="Arial"/>
          <w:i/>
          <w:iCs/>
          <w:color w:val="5D6D7E"/>
          <w:sz w:val="24"/>
          <w:szCs w:val="24"/>
        </w:rPr>
        <w:t xml:space="preserve">Speaker Script  ·  15 min  ·  3 speakers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Speaker</w:t>
            </w:r>
          </w:p>
        </w:tc>
        <w:tc>
          <w:tcPr>
            <w:tcW w:type="dxa" w:w="312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Slides</w:t>
            </w:r>
          </w:p>
        </w:tc>
        <w:tc>
          <w:tcPr>
            <w:tcW w:type="dxa" w:w="312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Time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1B4F72"/>
                <w:sz w:val="22"/>
                <w:szCs w:val="22"/>
              </w:rPr>
              <w:t xml:space="preserve">Farit Sharafutdinov</w:t>
            </w:r>
          </w:p>
        </w:tc>
        <w:tc>
          <w:tcPr>
            <w:tcW w:type="dxa" w:w="312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jc w:val="center"/>
            </w:pPr>
            <w:r>
              <w:rPr>
                <w:rFonts w:ascii="Arial" w:cs="Arial" w:eastAsia="Arial" w:hAnsi="Arial"/>
                <w:b/>
                <w:bCs/>
                <w:color w:val="1B4F72"/>
                <w:sz w:val="22"/>
                <w:szCs w:val="22"/>
              </w:rPr>
              <w:t xml:space="preserve">1, 3, 4, 5</w:t>
            </w:r>
          </w:p>
        </w:tc>
        <w:tc>
          <w:tcPr>
            <w:tcW w:type="dxa" w:w="312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jc w:val="center"/>
            </w:pPr>
            <w:r>
              <w:rPr>
                <w:rFonts w:ascii="Arial" w:cs="Arial" w:eastAsia="Arial" w:hAnsi="Arial"/>
                <w:b/>
                <w:bCs/>
                <w:color w:val="1B4F72"/>
                <w:sz w:val="22"/>
                <w:szCs w:val="22"/>
              </w:rPr>
              <w:t xml:space="preserve">≈ 5:20</w:t>
            </w:r>
          </w:p>
        </w:tc>
      </w:tr>
      <w:tr>
        <w:tc>
          <w:tcPr>
            <w:tcW w:type="dxa" w:w="312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145A32"/>
                <w:sz w:val="22"/>
                <w:szCs w:val="22"/>
              </w:rPr>
              <w:t xml:space="preserve">Grigorii Belyaev</w:t>
            </w:r>
          </w:p>
        </w:tc>
        <w:tc>
          <w:tcPr>
            <w:tcW w:type="dxa" w:w="312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jc w:val="center"/>
            </w:pPr>
            <w:r>
              <w:rPr>
                <w:rFonts w:ascii="Arial" w:cs="Arial" w:eastAsia="Arial" w:hAnsi="Arial"/>
                <w:b/>
                <w:bCs/>
                <w:color w:val="145A32"/>
                <w:sz w:val="22"/>
                <w:szCs w:val="22"/>
              </w:rPr>
              <w:t xml:space="preserve">2, 6, 7</w:t>
            </w:r>
          </w:p>
        </w:tc>
        <w:tc>
          <w:tcPr>
            <w:tcW w:type="dxa" w:w="312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jc w:val="center"/>
            </w:pPr>
            <w:r>
              <w:rPr>
                <w:rFonts w:ascii="Arial" w:cs="Arial" w:eastAsia="Arial" w:hAnsi="Arial"/>
                <w:b/>
                <w:bCs/>
                <w:color w:val="145A32"/>
                <w:sz w:val="22"/>
                <w:szCs w:val="22"/>
              </w:rPr>
              <w:t xml:space="preserve">≈ 4:40</w:t>
            </w:r>
          </w:p>
        </w:tc>
      </w:tr>
      <w:tr>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6E2F08"/>
                <w:sz w:val="22"/>
                <w:szCs w:val="22"/>
              </w:rPr>
              <w:t xml:space="preserve">Egor Sergeev</w:t>
            </w:r>
          </w:p>
        </w:tc>
        <w:tc>
          <w:tcPr>
            <w:tcW w:type="dxa" w:w="312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pPr>
              <w:jc w:val="center"/>
            </w:pPr>
            <w:r>
              <w:rPr>
                <w:rFonts w:ascii="Arial" w:cs="Arial" w:eastAsia="Arial" w:hAnsi="Arial"/>
                <w:b/>
                <w:bCs/>
                <w:color w:val="6E2F08"/>
                <w:sz w:val="22"/>
                <w:szCs w:val="22"/>
              </w:rPr>
              <w:t xml:space="preserve">8, 9, 10, 11</w:t>
            </w:r>
          </w:p>
        </w:tc>
        <w:tc>
          <w:tcPr>
            <w:tcW w:type="dxa" w:w="312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pPr>
              <w:jc w:val="center"/>
            </w:pPr>
            <w:r>
              <w:rPr>
                <w:rFonts w:ascii="Arial" w:cs="Arial" w:eastAsia="Arial" w:hAnsi="Arial"/>
                <w:b/>
                <w:bCs/>
                <w:color w:val="6E2F08"/>
                <w:sz w:val="22"/>
                <w:szCs w:val="22"/>
              </w:rPr>
              <w:t xml:space="preserve">≈ 5:00</w:t>
            </w:r>
          </w:p>
        </w:tc>
      </w:tr>
    </w:tbl>
    <w:p>
      <w:pPr>
        <w:spacing w:after="0" w:before="200"/>
      </w:pPr>
    </w:p>
    <w:p>
      <w:pPr>
        <w:pBdr>
          <w:bottom w:val="single" w:color="CCCCCC" w:sz="4"/>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tcBorders>
              <w:top w:val="single" w:color="DDDDDD" w:sz="1"/>
              <w:left w:val="single" w:color="DDDDDD" w:sz="1"/>
              <w:bottom w:val="single" w:color="DDDDDD" w:sz="1"/>
              <w:right w:val="single" w:color="DDDDDD" w:sz="1"/>
            </w:tcBorders>
            <w:shd w:fill="1B4F72" w:val="clear"/>
            <w:tcMar>
              <w:top w:type="dxa" w:w="100"/>
              <w:left w:type="dxa" w:w="160"/>
              <w:bottom w:type="dxa" w:w="100"/>
              <w:right w:type="dxa" w:w="80"/>
            </w:tcMar>
          </w:tcPr>
          <w:p>
            <w:r>
              <w:rPr>
                <w:rFonts w:ascii="Arial" w:cs="Arial" w:eastAsia="Arial" w:hAnsi="Arial"/>
                <w:b/>
                <w:bCs/>
                <w:color w:val="FFFFFF"/>
                <w:sz w:val="30"/>
                <w:szCs w:val="30"/>
              </w:rPr>
              <w:t xml:space="preserve">🎤  Farit Sharafutdinov</w:t>
            </w:r>
          </w:p>
        </w:tc>
        <w:tc>
          <w:tcPr>
            <w:tcW w:type="dxa" w:w="2800"/>
            <w:tcBorders>
              <w:top w:val="single" w:color="DDDDDD" w:sz="1"/>
              <w:left w:val="single" w:color="DDDDDD" w:sz="1"/>
              <w:bottom w:val="single" w:color="DDDDDD" w:sz="1"/>
              <w:right w:val="single" w:color="DDDDDD" w:sz="1"/>
            </w:tcBorders>
            <w:shd w:fill="1B4F72" w:val="clear"/>
            <w:tcMar>
              <w:top w:type="dxa" w:w="100"/>
              <w:left w:type="dxa" w:w="80"/>
              <w:bottom w:type="dxa" w:w="100"/>
              <w:right w:type="dxa" w:w="160"/>
            </w:tcMar>
          </w:tcPr>
          <w:p>
            <w:pPr>
              <w:jc w:val="right"/>
            </w:pPr>
            <w:r>
              <w:rPr>
                <w:rFonts w:ascii="Arial" w:cs="Arial" w:eastAsia="Arial" w:hAnsi="Arial"/>
                <w:color w:val="E8F4FD"/>
                <w:sz w:val="22"/>
                <w:szCs w:val="22"/>
              </w:rPr>
              <w:t xml:space="preserve">Slides 1, 3, 4, 5  |  ≈ 5 min 20 sec</w:t>
            </w:r>
          </w:p>
        </w:tc>
      </w:tr>
    </w:tbl>
    <w:p>
      <w:pPr>
        <w:spacing w:after="0" w:before="160"/>
      </w:pPr>
    </w:p>
    <w:p>
      <w:pPr>
        <w:spacing w:after="60" w:before="220"/>
      </w:pPr>
      <w:r>
        <w:rPr>
          <w:rFonts w:ascii="Arial" w:cs="Arial" w:eastAsia="Arial" w:hAnsi="Arial"/>
          <w:b/>
          <w:bCs/>
          <w:color w:val="5D6D7E"/>
          <w:sz w:val="20"/>
          <w:szCs w:val="20"/>
        </w:rPr>
        <w:t xml:space="preserve">▸ SLIDE 1 — </w:t>
      </w:r>
      <w:r>
        <w:rPr>
          <w:rFonts w:ascii="Arial" w:cs="Arial" w:eastAsia="Arial" w:hAnsi="Arial"/>
          <w:b/>
          <w:bCs/>
          <w:i/>
          <w:iCs/>
          <w:color w:val="5D6D7E"/>
          <w:sz w:val="20"/>
          <w:szCs w:val="20"/>
        </w:rPr>
        <w:t xml:space="preserve">Title</w:t>
      </w:r>
    </w:p>
    <w:p>
      <w:pPr>
        <w:spacing w:after="60" w:before="0"/>
        <w:jc w:val="right"/>
      </w:pPr>
      <w:r>
        <w:rPr>
          <w:rFonts w:ascii="Arial" w:cs="Arial" w:eastAsia="Arial" w:hAnsi="Arial"/>
          <w:i/>
          <w:iCs/>
          <w:color w:val="5D6D7E"/>
          <w:sz w:val="19"/>
          <w:szCs w:val="19"/>
        </w:rPr>
        <w:t xml:space="preserve">⏱ ~0:45</w:t>
      </w:r>
    </w:p>
    <w:p>
      <w:pPr>
        <w:spacing w:after="60" w:before="60"/>
      </w:pPr>
      <w:r>
        <w:rPr>
          <w:rFonts w:ascii="Arial" w:cs="Arial" w:eastAsia="Arial" w:hAnsi="Arial"/>
          <w:color w:val="1A1A1A"/>
          <w:sz w:val="24"/>
          <w:szCs w:val="24"/>
        </w:rPr>
        <w:t xml:space="preserve">Good morning. Our project is called ClinicalRiskPredictor, and today we will show you how we built an explainable model for predicting patient mortality from clinical event sequences.</w:t>
      </w:r>
    </w:p>
    <w:p>
      <w:pPr>
        <w:spacing w:after="60" w:before="60"/>
      </w:pPr>
      <w:r>
        <w:rPr>
          <w:rFonts w:ascii="Arial" w:cs="Arial" w:eastAsia="Arial" w:hAnsi="Arial"/>
          <w:color w:val="1A1A1A"/>
          <w:sz w:val="24"/>
          <w:szCs w:val="24"/>
        </w:rPr>
        <w:t xml:space="preserve">The three of us — Farit, Grigorii, and Egor — have been working on this since February, and I will take you through the data and the model architecture. Let me start with the problem.</w:t>
      </w:r>
    </w:p>
    <w:p>
      <w:pPr>
        <w:spacing w:after="40" w:before="40"/>
      </w:pPr>
      <w:r>
        <w:rPr>
          <w:rFonts w:ascii="Arial" w:cs="Arial" w:eastAsia="Arial" w:hAnsi="Arial"/>
          <w:i/>
          <w:iCs/>
          <w:color w:val="7D3C98"/>
          <w:sz w:val="22"/>
          <w:szCs w:val="22"/>
        </w:rPr>
        <w:t xml:space="preserve">  [hand over to Grigorii for Slide 2]</w:t>
      </w:r>
    </w:p>
    <w:p>
      <w:pPr>
        <w:spacing w:after="0" w:before="80"/>
      </w:pPr>
    </w:p>
    <w:p>
      <w:pPr>
        <w:spacing w:after="60" w:before="220"/>
      </w:pPr>
      <w:r>
        <w:rPr>
          <w:rFonts w:ascii="Arial" w:cs="Arial" w:eastAsia="Arial" w:hAnsi="Arial"/>
          <w:b/>
          <w:bCs/>
          <w:color w:val="5D6D7E"/>
          <w:sz w:val="20"/>
          <w:szCs w:val="20"/>
        </w:rPr>
        <w:t xml:space="preserve">▸ SLIDE 3 — </w:t>
      </w:r>
      <w:r>
        <w:rPr>
          <w:rFonts w:ascii="Arial" w:cs="Arial" w:eastAsia="Arial" w:hAnsi="Arial"/>
          <w:b/>
          <w:bCs/>
          <w:i/>
          <w:iCs/>
          <w:color w:val="5D6D7E"/>
          <w:sz w:val="20"/>
          <w:szCs w:val="20"/>
        </w:rPr>
        <w:t xml:space="preserve">Dataset Overview</w:t>
      </w:r>
    </w:p>
    <w:p>
      <w:pPr>
        <w:spacing w:after="60" w:before="0"/>
        <w:jc w:val="right"/>
      </w:pPr>
      <w:r>
        <w:rPr>
          <w:rFonts w:ascii="Arial" w:cs="Arial" w:eastAsia="Arial" w:hAnsi="Arial"/>
          <w:i/>
          <w:iCs/>
          <w:color w:val="5D6D7E"/>
          <w:sz w:val="19"/>
          <w:szCs w:val="19"/>
        </w:rPr>
        <w:t xml:space="preserve">⏱ ~1:30</w:t>
      </w:r>
    </w:p>
    <w:p>
      <w:pPr>
        <w:spacing w:after="60" w:before="60"/>
      </w:pPr>
      <w:r>
        <w:rPr>
          <w:rFonts w:ascii="Arial" w:cs="Arial" w:eastAsia="Arial" w:hAnsi="Arial"/>
          <w:color w:val="1A1A1A"/>
          <w:sz w:val="24"/>
          <w:szCs w:val="24"/>
        </w:rPr>
        <w:t xml:space="preserve">Thank you, Grigorii. Now let me tell you about our data.</w:t>
      </w:r>
    </w:p>
    <w:p>
      <w:pPr>
        <w:spacing w:after="60" w:before="60"/>
      </w:pPr>
      <w:r>
        <w:rPr>
          <w:rFonts w:ascii="Arial" w:cs="Arial" w:eastAsia="Arial" w:hAnsi="Arial"/>
          <w:color w:val="1A1A1A"/>
          <w:sz w:val="24"/>
          <w:szCs w:val="24"/>
        </w:rPr>
        <w:t xml:space="preserve">We used the Synthea dataset from Hugging Face — 575,415 synthetic but clinically realistic patients. This is an important point: the data is synthetic, meaning we can reproduce every experiment exactly and share the code publicly without privacy concerns.</w:t>
      </w:r>
    </w:p>
    <w:p>
      <w:pPr>
        <w:spacing w:after="60" w:before="60"/>
      </w:pPr>
      <w:r>
        <w:rPr>
          <w:rFonts w:ascii="Arial" w:cs="Arial" w:eastAsia="Arial" w:hAnsi="Arial"/>
          <w:color w:val="1A1A1A"/>
          <w:sz w:val="24"/>
          <w:szCs w:val="24"/>
        </w:rPr>
        <w:t xml:space="preserve">The target variable is binary mortality — if a patient has a death date in the record, the label is 1, otherwise 0. As you can see on the bar chart, the dataset is heavily imbalanced: 13.1% positive rate, meaning about one in eight patients is deceased. We did not apply any resampling — the model learns from the natural class distribution.</w:t>
      </w:r>
    </w:p>
    <w:p>
      <w:pPr>
        <w:spacing w:after="60" w:before="60"/>
      </w:pPr>
      <w:r>
        <w:rPr>
          <w:rFonts w:ascii="Arial" w:cs="Arial" w:eastAsia="Arial" w:hAnsi="Arial"/>
          <w:color w:val="1A1A1A"/>
          <w:sz w:val="24"/>
          <w:szCs w:val="24"/>
        </w:rPr>
        <w:t xml:space="preserve">On the right you can see four key statistics: 575,000 patients, 13.1% positive rate, a median sequence length of 80 clinical events per patient, and a mean time gap between events of 155 days — roughly five months. That last number tells you that events are not daily occurrences but spread across years of clinical history.</w:t>
      </w:r>
    </w:p>
    <w:p>
      <w:pPr>
        <w:spacing w:after="0" w:before="80"/>
      </w:pPr>
    </w:p>
    <w:p>
      <w:pPr>
        <w:spacing w:after="60" w:before="220"/>
      </w:pPr>
      <w:r>
        <w:rPr>
          <w:rFonts w:ascii="Arial" w:cs="Arial" w:eastAsia="Arial" w:hAnsi="Arial"/>
          <w:b/>
          <w:bCs/>
          <w:color w:val="5D6D7E"/>
          <w:sz w:val="20"/>
          <w:szCs w:val="20"/>
        </w:rPr>
        <w:t xml:space="preserve">▸ SLIDE 4 — </w:t>
      </w:r>
      <w:r>
        <w:rPr>
          <w:rFonts w:ascii="Arial" w:cs="Arial" w:eastAsia="Arial" w:hAnsi="Arial"/>
          <w:b/>
          <w:bCs/>
          <w:i/>
          <w:iCs/>
          <w:color w:val="5D6D7E"/>
          <w:sz w:val="20"/>
          <w:szCs w:val="20"/>
        </w:rPr>
        <w:t xml:space="preserve">Data Distributions</w:t>
      </w:r>
    </w:p>
    <w:p>
      <w:pPr>
        <w:spacing w:after="60" w:before="0"/>
        <w:jc w:val="right"/>
      </w:pPr>
      <w:r>
        <w:rPr>
          <w:rFonts w:ascii="Arial" w:cs="Arial" w:eastAsia="Arial" w:hAnsi="Arial"/>
          <w:i/>
          <w:iCs/>
          <w:color w:val="5D6D7E"/>
          <w:sz w:val="19"/>
          <w:szCs w:val="19"/>
        </w:rPr>
        <w:t xml:space="preserve">⏱ ~1:00</w:t>
      </w:r>
    </w:p>
    <w:p>
      <w:pPr>
        <w:spacing w:after="60" w:before="60"/>
      </w:pPr>
      <w:r>
        <w:rPr>
          <w:rFonts w:ascii="Arial" w:cs="Arial" w:eastAsia="Arial" w:hAnsi="Arial"/>
          <w:color w:val="1A1A1A"/>
          <w:sz w:val="24"/>
          <w:szCs w:val="24"/>
        </w:rPr>
        <w:t xml:space="preserve">Looking more closely at the distributions: on the left, the sequence length histogram shows a right-skewed distribution — most patients have between 20 and 150 events, but there is a long tail extending beyond 500, even to 2000 events. Because of this, we truncate sequences to the last 128 events, which captures the most recent and arguably most relevant clinical history.</w:t>
      </w:r>
    </w:p>
    <w:p>
      <w:pPr>
        <w:spacing w:after="60" w:before="60"/>
      </w:pPr>
      <w:r>
        <w:rPr>
          <w:rFonts w:ascii="Arial" w:cs="Arial" w:eastAsia="Arial" w:hAnsi="Arial"/>
          <w:color w:val="1A1A1A"/>
          <w:sz w:val="24"/>
          <w:szCs w:val="24"/>
        </w:rPr>
        <w:t xml:space="preserve">On the right, the time gap distribution. The raw histogram is extremely skewed — most gaps are short, but some span years. The log transform on the right panel reveals rich structure: there are multiple clusters, corresponding to same-day visits, weekly follow-ups, monthly check-ins, and longer gaps. This is exactly the temporal signal our model learns to exploit.</w:t>
      </w:r>
    </w:p>
    <w:p>
      <w:pPr>
        <w:spacing w:after="40" w:before="40"/>
      </w:pPr>
      <w:r>
        <w:rPr>
          <w:rFonts w:ascii="Arial" w:cs="Arial" w:eastAsia="Arial" w:hAnsi="Arial"/>
          <w:i/>
          <w:iCs/>
          <w:color w:val="7D3C98"/>
          <w:sz w:val="22"/>
          <w:szCs w:val="22"/>
        </w:rPr>
        <w:t xml:space="preserve">  [click to Slide 5]</w:t>
      </w:r>
    </w:p>
    <w:p>
      <w:pPr>
        <w:spacing w:after="0" w:before="80"/>
      </w:pPr>
    </w:p>
    <w:p>
      <w:pPr>
        <w:spacing w:after="60" w:before="220"/>
      </w:pPr>
      <w:r>
        <w:rPr>
          <w:rFonts w:ascii="Arial" w:cs="Arial" w:eastAsia="Arial" w:hAnsi="Arial"/>
          <w:b/>
          <w:bCs/>
          <w:color w:val="5D6D7E"/>
          <w:sz w:val="20"/>
          <w:szCs w:val="20"/>
        </w:rPr>
        <w:t xml:space="preserve">▸ SLIDE 5 — </w:t>
      </w:r>
      <w:r>
        <w:rPr>
          <w:rFonts w:ascii="Arial" w:cs="Arial" w:eastAsia="Arial" w:hAnsi="Arial"/>
          <w:b/>
          <w:bCs/>
          <w:i/>
          <w:iCs/>
          <w:color w:val="5D6D7E"/>
          <w:sz w:val="20"/>
          <w:szCs w:val="20"/>
        </w:rPr>
        <w:t xml:space="preserve">ChronoFormer Architecture</w:t>
      </w:r>
    </w:p>
    <w:p>
      <w:pPr>
        <w:spacing w:after="60" w:before="0"/>
        <w:jc w:val="right"/>
      </w:pPr>
      <w:r>
        <w:rPr>
          <w:rFonts w:ascii="Arial" w:cs="Arial" w:eastAsia="Arial" w:hAnsi="Arial"/>
          <w:i/>
          <w:iCs/>
          <w:color w:val="5D6D7E"/>
          <w:sz w:val="19"/>
          <w:szCs w:val="19"/>
        </w:rPr>
        <w:t xml:space="preserve">⏱ ~2:20</w:t>
      </w:r>
    </w:p>
    <w:p>
      <w:pPr>
        <w:spacing w:after="60" w:before="60"/>
      </w:pPr>
      <w:r>
        <w:rPr>
          <w:rFonts w:ascii="Arial" w:cs="Arial" w:eastAsia="Arial" w:hAnsi="Arial"/>
          <w:color w:val="1A1A1A"/>
          <w:sz w:val="24"/>
          <w:szCs w:val="24"/>
        </w:rPr>
        <w:t xml:space="preserve">Now the architecture. We built ChronoFormer from scratch — no off-the-shelf transformer blocks.</w:t>
      </w:r>
    </w:p>
    <w:p>
      <w:pPr>
        <w:spacing w:after="60" w:before="60"/>
      </w:pPr>
      <w:r>
        <w:rPr>
          <w:rFonts w:ascii="Arial" w:cs="Arial" w:eastAsia="Arial" w:hAnsi="Arial"/>
          <w:color w:val="1A1A1A"/>
          <w:sz w:val="24"/>
          <w:szCs w:val="24"/>
        </w:rPr>
        <w:t xml:space="preserve">The input to the model is two sequences per patient: a sequence of condition codes — integer identifiers for medical diagnoses — and a corresponding sequence of time deltas, in days, between consecutive events. Both sequences are the same length.</w:t>
      </w:r>
    </w:p>
    <w:p>
      <w:pPr>
        <w:spacing w:after="60" w:before="60"/>
      </w:pPr>
      <w:r>
        <w:rPr>
          <w:rFonts w:ascii="Arial" w:cs="Arial" w:eastAsia="Arial" w:hAnsi="Arial"/>
          <w:color w:val="1A1A1A"/>
          <w:sz w:val="24"/>
          <w:szCs w:val="24"/>
        </w:rPr>
        <w:t xml:space="preserve">Each code is passed through an event embedding layer, and each time delta is first quantized into one of 1000 bins and then passed through a separate time embedding. These two embeddings are simply summed, which means every token representation already encodes both what happened and when it happened relative to the previous event.</w:t>
      </w:r>
    </w:p>
    <w:p>
      <w:pPr>
        <w:spacing w:after="60" w:before="60"/>
      </w:pPr>
      <w:r>
        <w:rPr>
          <w:rFonts w:ascii="Arial" w:cs="Arial" w:eastAsia="Arial" w:hAnsi="Arial"/>
          <w:color w:val="1A1A1A"/>
          <w:sz w:val="24"/>
          <w:szCs w:val="24"/>
        </w:rPr>
        <w:t xml:space="preserve">The core innovation is our TimeAwareAttention. Instead of the standard dot-product attention, we add a learned time bias to the attention scores before the softmax. The bias has shape B by H by 1 by S — one value per attention head per key position. In other words, each head can learn a different temporal weighting strategy. Some heads may prefer recent events; others may focus on events separated by specific time gaps. This is the key equation on the right.</w:t>
      </w:r>
    </w:p>
    <w:p>
      <w:pPr>
        <w:spacing w:after="60" w:before="60"/>
      </w:pPr>
      <w:r>
        <w:rPr>
          <w:rFonts w:ascii="Arial" w:cs="Arial" w:eastAsia="Arial" w:hAnsi="Arial"/>
          <w:color w:val="1A1A1A"/>
          <w:sz w:val="24"/>
          <w:szCs w:val="24"/>
        </w:rPr>
        <w:t xml:space="preserve">After the attention layer, we apply layer normalization, take the representation of the last token — because the model reads the sequence left to right — and pass it through a two-layer MLP with ReLU activation, producing a sigmoid output: the mortality probability.</w:t>
      </w:r>
    </w:p>
    <w:p>
      <w:pPr>
        <w:spacing w:after="60" w:before="60"/>
      </w:pPr>
      <w:r>
        <w:rPr>
          <w:rFonts w:ascii="Arial" w:cs="Arial" w:eastAsia="Arial" w:hAnsi="Arial"/>
          <w:color w:val="1A1A1A"/>
          <w:sz w:val="24"/>
          <w:szCs w:val="24"/>
        </w:rPr>
        <w:t xml:space="preserve">The model has d_model of 128, 4 attention heads, and is trained with AdamW at 5 times 10 to the minus 5. Early stopping with patience 5 is applied on validation AUROC. I will now pass to Grigorii for the results.</w:t>
      </w:r>
    </w:p>
    <w:p>
      <w:pPr>
        <w:spacing w:after="40" w:before="40"/>
      </w:pPr>
      <w:r>
        <w:rPr>
          <w:rFonts w:ascii="Arial" w:cs="Arial" w:eastAsia="Arial" w:hAnsi="Arial"/>
          <w:i/>
          <w:iCs/>
          <w:color w:val="7D3C98"/>
          <w:sz w:val="22"/>
          <w:szCs w:val="22"/>
        </w:rPr>
        <w:t xml:space="preserve">  [hand over to Grigorii for Slide 6]</w:t>
      </w:r>
    </w:p>
    <w:p>
      <w:pPr>
        <w:spacing w:after="0" w:before="120"/>
      </w:pPr>
    </w:p>
    <w:p>
      <w:pPr>
        <w:pBdr>
          <w:bottom w:val="single" w:color="CCCCCC" w:sz="4"/>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tcBorders>
              <w:top w:val="single" w:color="DDDDDD" w:sz="1"/>
              <w:left w:val="single" w:color="DDDDDD" w:sz="1"/>
              <w:bottom w:val="single" w:color="DDDDDD" w:sz="1"/>
              <w:right w:val="single" w:color="DDDDDD" w:sz="1"/>
            </w:tcBorders>
            <w:shd w:fill="145A32" w:val="clear"/>
            <w:tcMar>
              <w:top w:type="dxa" w:w="100"/>
              <w:left w:type="dxa" w:w="160"/>
              <w:bottom w:type="dxa" w:w="100"/>
              <w:right w:type="dxa" w:w="80"/>
            </w:tcMar>
          </w:tcPr>
          <w:p>
            <w:r>
              <w:rPr>
                <w:rFonts w:ascii="Arial" w:cs="Arial" w:eastAsia="Arial" w:hAnsi="Arial"/>
                <w:b/>
                <w:bCs/>
                <w:color w:val="FFFFFF"/>
                <w:sz w:val="30"/>
                <w:szCs w:val="30"/>
              </w:rPr>
              <w:t xml:space="preserve">🎤  Grigorii Belyaev</w:t>
            </w:r>
          </w:p>
        </w:tc>
        <w:tc>
          <w:tcPr>
            <w:tcW w:type="dxa" w:w="2800"/>
            <w:tcBorders>
              <w:top w:val="single" w:color="DDDDDD" w:sz="1"/>
              <w:left w:val="single" w:color="DDDDDD" w:sz="1"/>
              <w:bottom w:val="single" w:color="DDDDDD" w:sz="1"/>
              <w:right w:val="single" w:color="DDDDDD" w:sz="1"/>
            </w:tcBorders>
            <w:shd w:fill="145A32" w:val="clear"/>
            <w:tcMar>
              <w:top w:type="dxa" w:w="100"/>
              <w:left w:type="dxa" w:w="80"/>
              <w:bottom w:type="dxa" w:w="100"/>
              <w:right w:type="dxa" w:w="160"/>
            </w:tcMar>
          </w:tcPr>
          <w:p>
            <w:pPr>
              <w:jc w:val="right"/>
            </w:pPr>
            <w:r>
              <w:rPr>
                <w:rFonts w:ascii="Arial" w:cs="Arial" w:eastAsia="Arial" w:hAnsi="Arial"/>
                <w:color w:val="E8F4FD"/>
                <w:sz w:val="22"/>
                <w:szCs w:val="22"/>
              </w:rPr>
              <w:t xml:space="preserve">Slides 2, 6, 7  |  ≈ 4 min 40 sec</w:t>
            </w:r>
          </w:p>
        </w:tc>
      </w:tr>
    </w:tbl>
    <w:p>
      <w:pPr>
        <w:spacing w:after="0" w:before="160"/>
      </w:pPr>
    </w:p>
    <w:p>
      <w:pPr>
        <w:spacing w:after="60" w:before="220"/>
      </w:pPr>
      <w:r>
        <w:rPr>
          <w:rFonts w:ascii="Arial" w:cs="Arial" w:eastAsia="Arial" w:hAnsi="Arial"/>
          <w:b/>
          <w:bCs/>
          <w:color w:val="5D6D7E"/>
          <w:sz w:val="20"/>
          <w:szCs w:val="20"/>
        </w:rPr>
        <w:t xml:space="preserve">▸ SLIDE 2 — </w:t>
      </w:r>
      <w:r>
        <w:rPr>
          <w:rFonts w:ascii="Arial" w:cs="Arial" w:eastAsia="Arial" w:hAnsi="Arial"/>
          <w:b/>
          <w:bCs/>
          <w:i/>
          <w:iCs/>
          <w:color w:val="5D6D7E"/>
          <w:sz w:val="20"/>
          <w:szCs w:val="20"/>
        </w:rPr>
        <w:t xml:space="preserve">Problem &amp; Motivation</w:t>
      </w:r>
    </w:p>
    <w:p>
      <w:pPr>
        <w:spacing w:after="60" w:before="0"/>
        <w:jc w:val="right"/>
      </w:pPr>
      <w:r>
        <w:rPr>
          <w:rFonts w:ascii="Arial" w:cs="Arial" w:eastAsia="Arial" w:hAnsi="Arial"/>
          <w:i/>
          <w:iCs/>
          <w:color w:val="5D6D7E"/>
          <w:sz w:val="19"/>
          <w:szCs w:val="19"/>
        </w:rPr>
        <w:t xml:space="preserve">⏱ ~1:30</w:t>
      </w:r>
    </w:p>
    <w:p>
      <w:pPr>
        <w:spacing w:after="60" w:before="60"/>
      </w:pPr>
      <w:r>
        <w:rPr>
          <w:rFonts w:ascii="Arial" w:cs="Arial" w:eastAsia="Arial" w:hAnsi="Arial"/>
          <w:color w:val="1A1A1A"/>
          <w:sz w:val="24"/>
          <w:szCs w:val="24"/>
        </w:rPr>
        <w:t xml:space="preserve">Let me frame the problem. When a patient visits a hospital, every diagnosis is recorded as a code in their Electronic Health Record. Over years, a single patient accumulates hundreds of such codes, each timestamped. The question we are asking is: given this sequence of events and the timing between them, what is the probability that this patient will die?</w:t>
      </w:r>
    </w:p>
    <w:p>
      <w:pPr>
        <w:spacing w:after="60" w:before="60"/>
      </w:pPr>
      <w:r>
        <w:rPr>
          <w:rFonts w:ascii="Arial" w:cs="Arial" w:eastAsia="Arial" w:hAnsi="Arial"/>
          <w:color w:val="1A1A1A"/>
          <w:sz w:val="24"/>
          <w:szCs w:val="24"/>
        </w:rPr>
        <w:t xml:space="preserve">This is not just an academic exercise. In practice, a mortality risk model can trigger earlier interventions, flag patients for follow-up, and help allocate scarce ICU resources. The stakes are high.</w:t>
      </w:r>
    </w:p>
    <w:p>
      <w:pPr>
        <w:spacing w:after="60" w:before="60"/>
      </w:pPr>
      <w:r>
        <w:rPr>
          <w:rFonts w:ascii="Arial" w:cs="Arial" w:eastAsia="Arial" w:hAnsi="Arial"/>
          <w:color w:val="1A1A1A"/>
          <w:sz w:val="24"/>
          <w:szCs w:val="24"/>
        </w:rPr>
        <w:t xml:space="preserve">But here is the core tension: a neural network that achieves high accuracy is not enough in a clinical setting. A clinician who receives a prediction of 0.87 mortality probability will ask: which part of this patient's history drove that number? Was it a recent diagnosis? A long gap without treatment? Without an answer, the model is unusable in practice — it may be accurate, but it is not trustworthy.</w:t>
      </w:r>
    </w:p>
    <w:p>
      <w:pPr>
        <w:spacing w:after="60" w:before="60"/>
      </w:pPr>
      <w:r>
        <w:rPr>
          <w:rFonts w:ascii="Arial" w:cs="Arial" w:eastAsia="Arial" w:hAnsi="Arial"/>
          <w:color w:val="1A1A1A"/>
          <w:sz w:val="24"/>
          <w:szCs w:val="24"/>
        </w:rPr>
        <w:t xml:space="preserve">This is why we combine a time-aware transformer with two explainability methods, and then validate those explanations with a fidelity metric. The goal is not just prediction — it is prediction that can be justified.</w:t>
      </w:r>
    </w:p>
    <w:p>
      <w:pPr>
        <w:spacing w:after="40" w:before="40"/>
      </w:pPr>
      <w:r>
        <w:rPr>
          <w:rFonts w:ascii="Arial" w:cs="Arial" w:eastAsia="Arial" w:hAnsi="Arial"/>
          <w:i/>
          <w:iCs/>
          <w:color w:val="7D3C98"/>
          <w:sz w:val="22"/>
          <w:szCs w:val="22"/>
        </w:rPr>
        <w:t xml:space="preserve">  [Farit presents Slides 3 and 4]</w:t>
      </w:r>
    </w:p>
    <w:p>
      <w:pPr>
        <w:spacing w:after="0" w:before="80"/>
      </w:pPr>
    </w:p>
    <w:p>
      <w:pPr>
        <w:spacing w:after="60" w:before="220"/>
      </w:pPr>
      <w:r>
        <w:rPr>
          <w:rFonts w:ascii="Arial" w:cs="Arial" w:eastAsia="Arial" w:hAnsi="Arial"/>
          <w:b/>
          <w:bCs/>
          <w:color w:val="5D6D7E"/>
          <w:sz w:val="20"/>
          <w:szCs w:val="20"/>
        </w:rPr>
        <w:t xml:space="preserve">▸ SLIDE 6 — </w:t>
      </w:r>
      <w:r>
        <w:rPr>
          <w:rFonts w:ascii="Arial" w:cs="Arial" w:eastAsia="Arial" w:hAnsi="Arial"/>
          <w:b/>
          <w:bCs/>
          <w:i/>
          <w:iCs/>
          <w:color w:val="5D6D7E"/>
          <w:sz w:val="20"/>
          <w:szCs w:val="20"/>
        </w:rPr>
        <w:t xml:space="preserve">Training &amp; Results</w:t>
      </w:r>
    </w:p>
    <w:p>
      <w:pPr>
        <w:spacing w:after="60" w:before="0"/>
        <w:jc w:val="right"/>
      </w:pPr>
      <w:r>
        <w:rPr>
          <w:rFonts w:ascii="Arial" w:cs="Arial" w:eastAsia="Arial" w:hAnsi="Arial"/>
          <w:i/>
          <w:iCs/>
          <w:color w:val="5D6D7E"/>
          <w:sz w:val="19"/>
          <w:szCs w:val="19"/>
        </w:rPr>
        <w:t xml:space="preserve">⏱ ~1:40</w:t>
      </w:r>
    </w:p>
    <w:p>
      <w:pPr>
        <w:spacing w:after="60" w:before="60"/>
      </w:pPr>
      <w:r>
        <w:rPr>
          <w:rFonts w:ascii="Arial" w:cs="Arial" w:eastAsia="Arial" w:hAnsi="Arial"/>
          <w:color w:val="1A1A1A"/>
          <w:sz w:val="24"/>
          <w:szCs w:val="24"/>
        </w:rPr>
        <w:t xml:space="preserve">Now let me present the training results. We trained for 8 epochs with a batch size of 64 on CPU — no GPU was required, which is an important reproducibility point.</w:t>
      </w:r>
    </w:p>
    <w:p>
      <w:pPr>
        <w:spacing w:after="60" w:before="60"/>
      </w:pPr>
      <w:r>
        <w:rPr>
          <w:rFonts w:ascii="Arial" w:cs="Arial" w:eastAsia="Arial" w:hAnsi="Arial"/>
          <w:color w:val="1A1A1A"/>
          <w:sz w:val="24"/>
          <w:szCs w:val="24"/>
        </w:rPr>
        <w:t xml:space="preserve">The key result is a validation AUROC of 0.954, achieved around epochs 10 to 11 in our baseline runs. AUROC measures the probability that the model ranks a randomly chosen deceased patient above a randomly chosen alive patient. A score of 0.954 means the model is highly discriminative — even on an imbalanced dataset where only 13 percent of patients are positive.</w:t>
      </w:r>
    </w:p>
    <w:p>
      <w:pPr>
        <w:spacing w:after="60" w:before="60"/>
      </w:pPr>
      <w:r>
        <w:rPr>
          <w:rFonts w:ascii="Arial" w:cs="Arial" w:eastAsia="Arial" w:hAnsi="Arial"/>
          <w:color w:val="1A1A1A"/>
          <w:sz w:val="24"/>
          <w:szCs w:val="24"/>
        </w:rPr>
        <w:t xml:space="preserve">I want to be clear about what this means. We are training on synthetic data, so the absolute number should not be compared directly to clinical benchmarks. What matters is that the model has successfully learned structure from the temporal event sequences, and that the architecture is sound enough to move on to the explainability stage. The split is 80-10-10 with random seed 42, so results are fully reproducible.</w:t>
      </w:r>
    </w:p>
    <w:p>
      <w:pPr>
        <w:spacing w:after="40" w:before="40"/>
      </w:pPr>
      <w:r>
        <w:rPr>
          <w:rFonts w:ascii="Arial" w:cs="Arial" w:eastAsia="Arial" w:hAnsi="Arial"/>
          <w:i/>
          <w:iCs/>
          <w:color w:val="7D3C98"/>
          <w:sz w:val="22"/>
          <w:szCs w:val="22"/>
        </w:rPr>
        <w:t xml:space="preserve">  [click to Slide 7]</w:t>
      </w:r>
    </w:p>
    <w:p>
      <w:pPr>
        <w:spacing w:after="0" w:before="80"/>
      </w:pPr>
    </w:p>
    <w:p>
      <w:pPr>
        <w:spacing w:after="60" w:before="220"/>
      </w:pPr>
      <w:r>
        <w:rPr>
          <w:rFonts w:ascii="Arial" w:cs="Arial" w:eastAsia="Arial" w:hAnsi="Arial"/>
          <w:b/>
          <w:bCs/>
          <w:color w:val="5D6D7E"/>
          <w:sz w:val="20"/>
          <w:szCs w:val="20"/>
        </w:rPr>
        <w:t xml:space="preserve">▸ SLIDE 7 — </w:t>
      </w:r>
      <w:r>
        <w:rPr>
          <w:rFonts w:ascii="Arial" w:cs="Arial" w:eastAsia="Arial" w:hAnsi="Arial"/>
          <w:b/>
          <w:bCs/>
          <w:i/>
          <w:iCs/>
          <w:color w:val="5D6D7E"/>
          <w:sz w:val="20"/>
          <w:szCs w:val="20"/>
        </w:rPr>
        <w:t xml:space="preserve">XAI: Two Methods</w:t>
      </w:r>
    </w:p>
    <w:p>
      <w:pPr>
        <w:spacing w:after="60" w:before="0"/>
        <w:jc w:val="right"/>
      </w:pPr>
      <w:r>
        <w:rPr>
          <w:rFonts w:ascii="Arial" w:cs="Arial" w:eastAsia="Arial" w:hAnsi="Arial"/>
          <w:i/>
          <w:iCs/>
          <w:color w:val="5D6D7E"/>
          <w:sz w:val="19"/>
          <w:szCs w:val="19"/>
        </w:rPr>
        <w:t xml:space="preserve">⏱ ~1:30</w:t>
      </w:r>
    </w:p>
    <w:p>
      <w:pPr>
        <w:spacing w:after="60" w:before="60"/>
      </w:pPr>
      <w:r>
        <w:rPr>
          <w:rFonts w:ascii="Arial" w:cs="Arial" w:eastAsia="Arial" w:hAnsi="Arial"/>
          <w:color w:val="1A1A1A"/>
          <w:sz w:val="24"/>
          <w:szCs w:val="24"/>
        </w:rPr>
        <w:t xml:space="preserve">We implemented two complementary explainability methods. Let me explain both at a conceptual level before Egor shows you the actual results.</w:t>
      </w:r>
    </w:p>
    <w:p>
      <w:pPr>
        <w:spacing w:after="60" w:before="60"/>
      </w:pPr>
      <w:r>
        <w:rPr>
          <w:rFonts w:ascii="Arial" w:cs="Arial" w:eastAsia="Arial" w:hAnsi="Arial"/>
          <w:color w:val="1A1A1A"/>
          <w:sz w:val="24"/>
          <w:szCs w:val="24"/>
        </w:rPr>
        <w:t xml:space="preserve">The first method is Attention Rollout. The idea is to take the attention weight matrices — which the model already computes during the forward pass — average them across heads, add the identity matrix to model the residual skip connection, and then re-normalize. This gives us a propagated attention matrix, and we read off the last row, which tells us how much each token contributed to the final classification token.</w:t>
      </w:r>
    </w:p>
    <w:p>
      <w:pPr>
        <w:spacing w:after="60" w:before="60"/>
      </w:pPr>
      <w:r>
        <w:rPr>
          <w:rFonts w:ascii="Arial" w:cs="Arial" w:eastAsia="Arial" w:hAnsi="Arial"/>
          <w:color w:val="1A1A1A"/>
          <w:sz w:val="24"/>
          <w:szCs w:val="24"/>
        </w:rPr>
        <w:t xml:space="preserve">The second method is Saliency via Input Gradients. Here we ask a different question: if I perturb the input representation at token position i, how much does the output probability change? We compute the gradient of the output probability with respect to the combined input embedding — event embedding plus time embedding — and aggregate it with the L1 norm. This gives us a sensitivity score per token, normalized to the range zero to one.</w:t>
      </w:r>
    </w:p>
    <w:p>
      <w:pPr>
        <w:spacing w:after="60" w:before="60"/>
      </w:pPr>
      <w:r>
        <w:rPr>
          <w:rFonts w:ascii="Arial" w:cs="Arial" w:eastAsia="Arial" w:hAnsi="Arial"/>
          <w:color w:val="1A1A1A"/>
          <w:sz w:val="24"/>
          <w:szCs w:val="24"/>
        </w:rPr>
        <w:t xml:space="preserve">These two methods are philosophically different. Rollout operates on attention weights and captures information routing through the model. Saliency operates on gradients and captures local sensitivity. Comparing them lets us assess whether they agree — and where they disagree, understand why. Egor will now show you the actual output.</w:t>
      </w:r>
    </w:p>
    <w:p>
      <w:pPr>
        <w:spacing w:after="40" w:before="40"/>
      </w:pPr>
      <w:r>
        <w:rPr>
          <w:rFonts w:ascii="Arial" w:cs="Arial" w:eastAsia="Arial" w:hAnsi="Arial"/>
          <w:i/>
          <w:iCs/>
          <w:color w:val="7D3C98"/>
          <w:sz w:val="22"/>
          <w:szCs w:val="22"/>
        </w:rPr>
        <w:t xml:space="preserve">  [hand over to Egor for Slide 8]</w:t>
      </w:r>
    </w:p>
    <w:p>
      <w:pPr>
        <w:spacing w:after="0" w:before="120"/>
      </w:pPr>
    </w:p>
    <w:p>
      <w:pPr>
        <w:pBdr>
          <w:bottom w:val="single" w:color="CCCCCC" w:sz="4"/>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tcBorders>
              <w:top w:val="single" w:color="DDDDDD" w:sz="1"/>
              <w:left w:val="single" w:color="DDDDDD" w:sz="1"/>
              <w:bottom w:val="single" w:color="DDDDDD" w:sz="1"/>
              <w:right w:val="single" w:color="DDDDDD" w:sz="1"/>
            </w:tcBorders>
            <w:shd w:fill="6E2F08" w:val="clear"/>
            <w:tcMar>
              <w:top w:type="dxa" w:w="100"/>
              <w:left w:type="dxa" w:w="160"/>
              <w:bottom w:type="dxa" w:w="100"/>
              <w:right w:type="dxa" w:w="80"/>
            </w:tcMar>
          </w:tcPr>
          <w:p>
            <w:r>
              <w:rPr>
                <w:rFonts w:ascii="Arial" w:cs="Arial" w:eastAsia="Arial" w:hAnsi="Arial"/>
                <w:b/>
                <w:bCs/>
                <w:color w:val="FFFFFF"/>
                <w:sz w:val="30"/>
                <w:szCs w:val="30"/>
              </w:rPr>
              <w:t xml:space="preserve">🎤  Egor Sergeev</w:t>
            </w:r>
          </w:p>
        </w:tc>
        <w:tc>
          <w:tcPr>
            <w:tcW w:type="dxa" w:w="2800"/>
            <w:tcBorders>
              <w:top w:val="single" w:color="DDDDDD" w:sz="1"/>
              <w:left w:val="single" w:color="DDDDDD" w:sz="1"/>
              <w:bottom w:val="single" w:color="DDDDDD" w:sz="1"/>
              <w:right w:val="single" w:color="DDDDDD" w:sz="1"/>
            </w:tcBorders>
            <w:shd w:fill="6E2F08" w:val="clear"/>
            <w:tcMar>
              <w:top w:type="dxa" w:w="100"/>
              <w:left w:type="dxa" w:w="80"/>
              <w:bottom w:type="dxa" w:w="100"/>
              <w:right w:type="dxa" w:w="160"/>
            </w:tcMar>
          </w:tcPr>
          <w:p>
            <w:pPr>
              <w:jc w:val="right"/>
            </w:pPr>
            <w:r>
              <w:rPr>
                <w:rFonts w:ascii="Arial" w:cs="Arial" w:eastAsia="Arial" w:hAnsi="Arial"/>
                <w:color w:val="E8F4FD"/>
                <w:sz w:val="22"/>
                <w:szCs w:val="22"/>
              </w:rPr>
              <w:t xml:space="preserve">Slides 8, 9, 10, 11  |  ≈ 5 min 00 sec</w:t>
            </w:r>
          </w:p>
        </w:tc>
      </w:tr>
    </w:tbl>
    <w:p>
      <w:pPr>
        <w:spacing w:after="0" w:before="160"/>
      </w:pPr>
    </w:p>
    <w:p>
      <w:pPr>
        <w:spacing w:after="60" w:before="220"/>
      </w:pPr>
      <w:r>
        <w:rPr>
          <w:rFonts w:ascii="Arial" w:cs="Arial" w:eastAsia="Arial" w:hAnsi="Arial"/>
          <w:b/>
          <w:bCs/>
          <w:color w:val="5D6D7E"/>
          <w:sz w:val="20"/>
          <w:szCs w:val="20"/>
        </w:rPr>
        <w:t xml:space="preserve">▸ SLIDE 8 — </w:t>
      </w:r>
      <w:r>
        <w:rPr>
          <w:rFonts w:ascii="Arial" w:cs="Arial" w:eastAsia="Arial" w:hAnsi="Arial"/>
          <w:b/>
          <w:bCs/>
          <w:i/>
          <w:iCs/>
          <w:color w:val="5D6D7E"/>
          <w:sz w:val="20"/>
          <w:szCs w:val="20"/>
        </w:rPr>
        <w:t xml:space="preserve">Token Importance: Rollout vs. Saliency</w:t>
      </w:r>
    </w:p>
    <w:p>
      <w:pPr>
        <w:spacing w:after="60" w:before="0"/>
        <w:jc w:val="right"/>
      </w:pPr>
      <w:r>
        <w:rPr>
          <w:rFonts w:ascii="Arial" w:cs="Arial" w:eastAsia="Arial" w:hAnsi="Arial"/>
          <w:i/>
          <w:iCs/>
          <w:color w:val="5D6D7E"/>
          <w:sz w:val="19"/>
          <w:szCs w:val="19"/>
        </w:rPr>
        <w:t xml:space="preserve">⏱ ~1:30</w:t>
      </w:r>
    </w:p>
    <w:p>
      <w:pPr>
        <w:spacing w:after="60" w:before="60"/>
      </w:pPr>
      <w:r>
        <w:rPr>
          <w:rFonts w:ascii="Arial" w:cs="Arial" w:eastAsia="Arial" w:hAnsi="Arial"/>
          <w:color w:val="1A1A1A"/>
          <w:sz w:val="24"/>
          <w:szCs w:val="24"/>
        </w:rPr>
        <w:t xml:space="preserve">Thank you, Grigorii. Let me show you what these methods actually produce on a real test patient.</w:t>
      </w:r>
    </w:p>
    <w:p>
      <w:pPr>
        <w:spacing w:after="60" w:before="60"/>
      </w:pPr>
      <w:r>
        <w:rPr>
          <w:rFonts w:ascii="Arial" w:cs="Arial" w:eastAsia="Arial" w:hAnsi="Arial"/>
          <w:color w:val="1A1A1A"/>
          <w:sz w:val="24"/>
          <w:szCs w:val="24"/>
        </w:rPr>
        <w:t xml:space="preserve">The chart shows token importance along the x-axis — each position corresponds to one clinical event in the patient's sequence — and importance score on the y-axis. The blue line is Attention Rollout; the red line is Saliency.</w:t>
      </w:r>
    </w:p>
    <w:p>
      <w:pPr>
        <w:spacing w:after="60" w:before="60"/>
      </w:pPr>
      <w:r>
        <w:rPr>
          <w:rFonts w:ascii="Arial" w:cs="Arial" w:eastAsia="Arial" w:hAnsi="Arial"/>
          <w:color w:val="1A1A1A"/>
          <w:sz w:val="24"/>
          <w:szCs w:val="24"/>
        </w:rPr>
        <w:t xml:space="preserve">The first observation is striking: Saliency produces a sharp spike at position 47. This single event has an importance score ten times higher than its neighbors. The model, from a gradient perspective, is extremely sensitive to whatever happened at that visit. The patient has a predicted mortality probability of just 0.005 — so the model is confident this patient will survive — and this particular event is the main evidence for that low-risk prediction.</w:t>
      </w:r>
    </w:p>
    <w:p>
      <w:pPr>
        <w:spacing w:after="60" w:before="60"/>
      </w:pPr>
      <w:r>
        <w:rPr>
          <w:rFonts w:ascii="Arial" w:cs="Arial" w:eastAsia="Arial" w:hAnsi="Arial"/>
          <w:color w:val="1A1A1A"/>
          <w:sz w:val="24"/>
          <w:szCs w:val="24"/>
        </w:rPr>
        <w:t xml:space="preserve">The second observation is that Attention Rollout is nearly flat across the entire sequence. This is a known limitation of rollout in shallow, single-layer transformers: when you average attention across heads and normalize, the distribution tends to spread out across all tokens. Rollout is more informative in deep, multi-layer models where attention patterns compose across layers.</w:t>
      </w:r>
    </w:p>
    <w:p>
      <w:pPr>
        <w:spacing w:after="60" w:before="60"/>
      </w:pPr>
      <w:r>
        <w:rPr>
          <w:rFonts w:ascii="Arial" w:cs="Arial" w:eastAsia="Arial" w:hAnsi="Arial"/>
          <w:color w:val="1A1A1A"/>
          <w:sz w:val="24"/>
          <w:szCs w:val="24"/>
        </w:rPr>
        <w:t xml:space="preserve">This difference between the two methods is itself an important finding: for a one-layer architecture, gradient-based saliency gives sharper, more actionable explanations than rollout. We will keep rollout in the comparison as a baseline, but saliency is clearly the stronger method here.</w:t>
      </w:r>
    </w:p>
    <w:p>
      <w:pPr>
        <w:spacing w:after="40" w:before="40"/>
      </w:pPr>
      <w:r>
        <w:rPr>
          <w:rFonts w:ascii="Arial" w:cs="Arial" w:eastAsia="Arial" w:hAnsi="Arial"/>
          <w:i/>
          <w:iCs/>
          <w:color w:val="7D3C98"/>
          <w:sz w:val="22"/>
          <w:szCs w:val="22"/>
        </w:rPr>
        <w:t xml:space="preserve">  [click to Slide 9]</w:t>
      </w:r>
    </w:p>
    <w:p>
      <w:pPr>
        <w:spacing w:after="0" w:before="80"/>
      </w:pPr>
    </w:p>
    <w:p>
      <w:pPr>
        <w:spacing w:after="60" w:before="220"/>
      </w:pPr>
      <w:r>
        <w:rPr>
          <w:rFonts w:ascii="Arial" w:cs="Arial" w:eastAsia="Arial" w:hAnsi="Arial"/>
          <w:b/>
          <w:bCs/>
          <w:color w:val="5D6D7E"/>
          <w:sz w:val="20"/>
          <w:szCs w:val="20"/>
        </w:rPr>
        <w:t xml:space="preserve">▸ SLIDE 9 — </w:t>
      </w:r>
      <w:r>
        <w:rPr>
          <w:rFonts w:ascii="Arial" w:cs="Arial" w:eastAsia="Arial" w:hAnsi="Arial"/>
          <w:b/>
          <w:bCs/>
          <w:i/>
          <w:iCs/>
          <w:color w:val="5D6D7E"/>
          <w:sz w:val="20"/>
          <w:szCs w:val="20"/>
        </w:rPr>
        <w:t xml:space="preserve">Fidelity Evaluation</w:t>
      </w:r>
    </w:p>
    <w:p>
      <w:pPr>
        <w:spacing w:after="60" w:before="0"/>
        <w:jc w:val="right"/>
      </w:pPr>
      <w:r>
        <w:rPr>
          <w:rFonts w:ascii="Arial" w:cs="Arial" w:eastAsia="Arial" w:hAnsi="Arial"/>
          <w:i/>
          <w:iCs/>
          <w:color w:val="5D6D7E"/>
          <w:sz w:val="19"/>
          <w:szCs w:val="19"/>
        </w:rPr>
        <w:t xml:space="preserve">⏱ ~2:00</w:t>
      </w:r>
    </w:p>
    <w:p>
      <w:pPr>
        <w:spacing w:after="60" w:before="60"/>
      </w:pPr>
      <w:r>
        <w:rPr>
          <w:rFonts w:ascii="Arial" w:cs="Arial" w:eastAsia="Arial" w:hAnsi="Arial"/>
          <w:color w:val="1A1A1A"/>
          <w:sz w:val="24"/>
          <w:szCs w:val="24"/>
        </w:rPr>
        <w:t xml:space="preserve">The question we need to answer now is: do these importance scores actually reflect what the model uses? An importance map could look plausible but be completely wrong about which tokens matter causally. This is the faithfulness problem in XAI.</w:t>
      </w:r>
    </w:p>
    <w:p>
      <w:pPr>
        <w:spacing w:after="60" w:before="60"/>
      </w:pPr>
      <w:r>
        <w:rPr>
          <w:rFonts w:ascii="Arial" w:cs="Arial" w:eastAsia="Arial" w:hAnsi="Arial"/>
          <w:color w:val="1A1A1A"/>
          <w:sz w:val="24"/>
          <w:szCs w:val="24"/>
        </w:rPr>
        <w:t xml:space="preserve">To measure faithfulness, we use a fidelity metric. The procedure is simple: take the top-k tokens according to the importance score, replace them with the padding token — effectively removing them — and measure the drop in the predicted probability. If the explanation is faithful, masking the most important tokens should significantly reduce the model's confidence.</w:t>
      </w:r>
    </w:p>
    <w:p>
      <w:pPr>
        <w:spacing w:after="60" w:before="60"/>
      </w:pPr>
      <w:r>
        <w:rPr>
          <w:rFonts w:ascii="Arial" w:cs="Arial" w:eastAsia="Arial" w:hAnsi="Arial"/>
          <w:color w:val="1A1A1A"/>
          <w:sz w:val="24"/>
          <w:szCs w:val="24"/>
        </w:rPr>
        <w:t xml:space="preserve">The fidelity curve shows delta — the original probability minus the masked probability — on the y-axis, and k on the x-axis. Positive delta means masking reduced the probability, which is what we want. Negative delta means masking increased the probability — the model is confused.</w:t>
      </w:r>
    </w:p>
    <w:p>
      <w:pPr>
        <w:spacing w:after="60" w:before="60"/>
      </w:pPr>
      <w:r>
        <w:rPr>
          <w:rFonts w:ascii="Arial" w:cs="Arial" w:eastAsia="Arial" w:hAnsi="Arial"/>
          <w:color w:val="1A1A1A"/>
          <w:sz w:val="24"/>
          <w:szCs w:val="24"/>
        </w:rPr>
        <w:t xml:space="preserve">Look at the results in the table. For k equals 1, 3, and 5 — masking the top three to five tokens — both Rollout and Saliency produce positive delta: 0.019 to 0.044. The explanations are faithful for small k. As k increases to 10, 20, and 40, delta becomes negative and grows in magnitude. This makes sense: at k equals 40, we are masking a large fraction of a 64-token sequence, and the model is operating on a severely corrupted input — the prediction degrades, which is not the same as the masked tokens being important.</w:t>
      </w:r>
    </w:p>
    <w:p>
      <w:pPr>
        <w:spacing w:after="60" w:before="60"/>
      </w:pPr>
      <w:r>
        <w:rPr>
          <w:rFonts w:ascii="Arial" w:cs="Arial" w:eastAsia="Arial" w:hAnsi="Arial"/>
          <w:color w:val="1A1A1A"/>
          <w:sz w:val="24"/>
          <w:szCs w:val="24"/>
        </w:rPr>
        <w:t xml:space="preserve">The practical takeaway is that both methods reliably identify 3 to 5 critical events per patient, and masking those events meaningfully shifts the model's prediction. For a clinical application, this means you could present a clinician with the 3 most important diagnoses driving a risk score — and those 3 diagnoses are genuinely causal, not just correlated.</w:t>
      </w:r>
    </w:p>
    <w:p>
      <w:pPr>
        <w:spacing w:after="40" w:before="40"/>
      </w:pPr>
      <w:r>
        <w:rPr>
          <w:rFonts w:ascii="Arial" w:cs="Arial" w:eastAsia="Arial" w:hAnsi="Arial"/>
          <w:i/>
          <w:iCs/>
          <w:color w:val="7D3C98"/>
          <w:sz w:val="22"/>
          <w:szCs w:val="22"/>
        </w:rPr>
        <w:t xml:space="preserve">  [click to Slide 10]</w:t>
      </w:r>
    </w:p>
    <w:p>
      <w:pPr>
        <w:spacing w:after="0" w:before="80"/>
      </w:pPr>
    </w:p>
    <w:p>
      <w:pPr>
        <w:spacing w:after="60" w:before="220"/>
      </w:pPr>
      <w:r>
        <w:rPr>
          <w:rFonts w:ascii="Arial" w:cs="Arial" w:eastAsia="Arial" w:hAnsi="Arial"/>
          <w:b/>
          <w:bCs/>
          <w:color w:val="5D6D7E"/>
          <w:sz w:val="20"/>
          <w:szCs w:val="20"/>
        </w:rPr>
        <w:t xml:space="preserve">▸ SLIDE 10 — </w:t>
      </w:r>
      <w:r>
        <w:rPr>
          <w:rFonts w:ascii="Arial" w:cs="Arial" w:eastAsia="Arial" w:hAnsi="Arial"/>
          <w:b/>
          <w:bCs/>
          <w:i/>
          <w:iCs/>
          <w:color w:val="5D6D7E"/>
          <w:sz w:val="20"/>
          <w:szCs w:val="20"/>
        </w:rPr>
        <w:t xml:space="preserve">Lessons Learned &amp; Future Work</w:t>
      </w:r>
    </w:p>
    <w:p>
      <w:pPr>
        <w:spacing w:after="60" w:before="0"/>
        <w:jc w:val="right"/>
      </w:pPr>
      <w:r>
        <w:rPr>
          <w:rFonts w:ascii="Arial" w:cs="Arial" w:eastAsia="Arial" w:hAnsi="Arial"/>
          <w:i/>
          <w:iCs/>
          <w:color w:val="5D6D7E"/>
          <w:sz w:val="19"/>
          <w:szCs w:val="19"/>
        </w:rPr>
        <w:t xml:space="preserve">⏱ ~1:00</w:t>
      </w:r>
    </w:p>
    <w:p>
      <w:pPr>
        <w:spacing w:after="60" w:before="60"/>
      </w:pPr>
      <w:r>
        <w:rPr>
          <w:rFonts w:ascii="Arial" w:cs="Arial" w:eastAsia="Arial" w:hAnsi="Arial"/>
          <w:color w:val="1A1A1A"/>
          <w:sz w:val="24"/>
          <w:szCs w:val="24"/>
        </w:rPr>
        <w:t xml:space="preserve">Let me close with what we learned and where we are going.</w:t>
      </w:r>
    </w:p>
    <w:p>
      <w:pPr>
        <w:spacing w:after="60" w:before="60"/>
      </w:pPr>
      <w:r>
        <w:rPr>
          <w:rFonts w:ascii="Arial" w:cs="Arial" w:eastAsia="Arial" w:hAnsi="Arial"/>
          <w:color w:val="1A1A1A"/>
          <w:sz w:val="24"/>
          <w:szCs w:val="24"/>
        </w:rPr>
        <w:t xml:space="preserve">The most important lesson is that temporal structure matters. Simply encoding the sequence of codes is not enough — the time gaps between events carry real information, and our time-aware attention mechanism is designed specifically to learn from that structure.</w:t>
      </w:r>
    </w:p>
    <w:p>
      <w:pPr>
        <w:spacing w:after="60" w:before="60"/>
      </w:pPr>
      <w:r>
        <w:rPr>
          <w:rFonts w:ascii="Arial" w:cs="Arial" w:eastAsia="Arial" w:hAnsi="Arial"/>
          <w:color w:val="1A1A1A"/>
          <w:sz w:val="24"/>
          <w:szCs w:val="24"/>
        </w:rPr>
        <w:t xml:space="preserve">We also learned that explanation method choice depends on model depth. For a single-layer transformer, saliency via input gradients is more informative than attention rollout. This is not a failure of rollout — it is a property of shallow architectures — but it is an important engineering decision that should be made deliberately.</w:t>
      </w:r>
    </w:p>
    <w:p>
      <w:pPr>
        <w:spacing w:after="60" w:before="60"/>
      </w:pPr>
      <w:r>
        <w:rPr>
          <w:rFonts w:ascii="Arial" w:cs="Arial" w:eastAsia="Arial" w:hAnsi="Arial"/>
          <w:color w:val="1A1A1A"/>
          <w:sz w:val="24"/>
          <w:szCs w:val="24"/>
        </w:rPr>
        <w:t xml:space="preserve">For future work, the natural next step is to validate on real EHR data — specifically MIMIC-IV in the MEDS format, which is what we proposed back in February. We also want to extend ChronoFormer to multiple layers and implement proper multi-layer rollout. Finally, any clinical deployment would require careful bias analysis and external validation, which we consider out of scope for this academic milestone.</w:t>
      </w:r>
    </w:p>
    <w:p>
      <w:pPr>
        <w:spacing w:after="40" w:before="40"/>
      </w:pPr>
      <w:r>
        <w:rPr>
          <w:rFonts w:ascii="Arial" w:cs="Arial" w:eastAsia="Arial" w:hAnsi="Arial"/>
          <w:i/>
          <w:iCs/>
          <w:color w:val="7D3C98"/>
          <w:sz w:val="22"/>
          <w:szCs w:val="22"/>
        </w:rPr>
        <w:t xml:space="preserve">  [click to Slide 11 — Q&amp;A]</w:t>
      </w:r>
    </w:p>
    <w:p>
      <w:pPr>
        <w:spacing w:after="0" w:before="80"/>
      </w:pPr>
    </w:p>
    <w:p>
      <w:pPr>
        <w:spacing w:after="60" w:before="220"/>
      </w:pPr>
      <w:r>
        <w:rPr>
          <w:rFonts w:ascii="Arial" w:cs="Arial" w:eastAsia="Arial" w:hAnsi="Arial"/>
          <w:b/>
          <w:bCs/>
          <w:color w:val="5D6D7E"/>
          <w:sz w:val="20"/>
          <w:szCs w:val="20"/>
        </w:rPr>
        <w:t xml:space="preserve">▸ SLIDE 11 — </w:t>
      </w:r>
      <w:r>
        <w:rPr>
          <w:rFonts w:ascii="Arial" w:cs="Arial" w:eastAsia="Arial" w:hAnsi="Arial"/>
          <w:b/>
          <w:bCs/>
          <w:i/>
          <w:iCs/>
          <w:color w:val="5D6D7E"/>
          <w:sz w:val="20"/>
          <w:szCs w:val="20"/>
        </w:rPr>
        <w:t xml:space="preserve">Q&amp;A</w:t>
      </w:r>
    </w:p>
    <w:p>
      <w:pPr>
        <w:spacing w:after="60" w:before="0"/>
        <w:jc w:val="right"/>
      </w:pPr>
      <w:r>
        <w:rPr>
          <w:rFonts w:ascii="Arial" w:cs="Arial" w:eastAsia="Arial" w:hAnsi="Arial"/>
          <w:i/>
          <w:iCs/>
          <w:color w:val="5D6D7E"/>
          <w:sz w:val="19"/>
          <w:szCs w:val="19"/>
        </w:rPr>
        <w:t xml:space="preserve">⏱ ~0:30</w:t>
      </w:r>
    </w:p>
    <w:p>
      <w:pPr>
        <w:spacing w:after="60" w:before="60"/>
      </w:pPr>
      <w:r>
        <w:rPr>
          <w:rFonts w:ascii="Arial" w:cs="Arial" w:eastAsia="Arial" w:hAnsi="Arial"/>
          <w:color w:val="1A1A1A"/>
          <w:sz w:val="24"/>
          <w:szCs w:val="24"/>
        </w:rPr>
        <w:t xml:space="preserve">Thank you for your attention. Our code is fully reproducible — training, XAI, and plotting scripts are all in the repository. We are happy to take questions.</w:t>
      </w:r>
    </w:p>
    <w:p>
      <w:pPr>
        <w:spacing w:after="40" w:before="40"/>
      </w:pPr>
      <w:r>
        <w:rPr>
          <w:rFonts w:ascii="Arial" w:cs="Arial" w:eastAsia="Arial" w:hAnsi="Arial"/>
          <w:i/>
          <w:iCs/>
          <w:color w:val="7D3C98"/>
          <w:sz w:val="22"/>
          <w:szCs w:val="22"/>
        </w:rPr>
        <w:t xml:space="preserve">  [all three speakers stand at the front; answer questions based on your area]</w:t>
      </w:r>
    </w:p>
    <w:p>
      <w:pPr>
        <w:spacing w:after="0" w:before="200"/>
      </w:pPr>
    </w:p>
    <w:p>
      <w:pPr>
        <w:pBdr>
          <w:bottom w:val="single" w:color="CCCCCC" w:sz="4"/>
        </w:pBdr>
        <w:spacing w:after="120" w:before="120"/>
      </w:pPr>
    </w:p>
    <w:p>
      <w:pPr>
        <w:pStyle w:val="Heading2"/>
      </w:pPr>
      <w:r>
        <w:rPr>
          <w:rFonts w:ascii="Arial" w:cs="Arial" w:eastAsia="Arial" w:hAnsi="Arial"/>
          <w:b/>
          <w:bCs/>
          <w:color w:val="5D6D7E"/>
          <w:sz w:val="28"/>
          <w:szCs w:val="28"/>
        </w:rPr>
        <w:t xml:space="preserve">Anticipated Questions &amp; Suggested Answers</w:t>
      </w:r>
    </w:p>
    <w:p>
      <w:pPr>
        <w:spacing w:after="0" w:before="60"/>
      </w:pPr>
    </w:p>
    <w:p>
      <w:pPr>
        <w:spacing w:after="40" w:before="140"/>
      </w:pPr>
      <w:r>
        <w:rPr>
          <w:rFonts w:ascii="Arial" w:cs="Arial" w:eastAsia="Arial" w:hAnsi="Arial"/>
          <w:b/>
          <w:bCs/>
          <w:color w:val="1B6CA8"/>
          <w:sz w:val="22"/>
          <w:szCs w:val="22"/>
        </w:rPr>
        <w:t xml:space="preserve">Q: Why did you use synthetic data instead of MIMIC-IV?</w:t>
      </w:r>
    </w:p>
    <w:p>
      <w:pPr>
        <w:spacing w:after="80" w:before="0"/>
      </w:pPr>
      <w:r>
        <w:rPr>
          <w:rFonts w:ascii="Arial" w:cs="Arial" w:eastAsia="Arial" w:hAnsi="Arial"/>
          <w:color w:val="1A1A1A"/>
          <w:sz w:val="22"/>
          <w:szCs w:val="22"/>
        </w:rPr>
        <w:t xml:space="preserve">A: Our proposal targets MIMIC-IV, but access requires a data use agreement that takes time to obtain. Synthea is immediately available, fully reproducible, and sufficient to validate the architecture and XAI pipeline. The model code is dataset-agnostic — switching to MIMIC requires only changing the data loader.</w:t>
      </w:r>
    </w:p>
    <w:p>
      <w:pPr>
        <w:spacing w:after="40" w:before="140"/>
      </w:pPr>
      <w:r>
        <w:rPr>
          <w:rFonts w:ascii="Arial" w:cs="Arial" w:eastAsia="Arial" w:hAnsi="Arial"/>
          <w:b/>
          <w:bCs/>
          <w:color w:val="1B6CA8"/>
          <w:sz w:val="22"/>
          <w:szCs w:val="22"/>
        </w:rPr>
        <w:t xml:space="preserve">Q: Your AUROC of 0.954 — isn't that suspiciously high?</w:t>
      </w:r>
    </w:p>
    <w:p>
      <w:pPr>
        <w:spacing w:after="80" w:before="0"/>
      </w:pPr>
      <w:r>
        <w:rPr>
          <w:rFonts w:ascii="Arial" w:cs="Arial" w:eastAsia="Arial" w:hAnsi="Arial"/>
          <w:color w:val="1A1A1A"/>
          <w:sz w:val="22"/>
          <w:szCs w:val="22"/>
        </w:rPr>
        <w:t xml:space="preserve">A: On synthetic data, yes, the number is high. Synthea generates data from clinical pathways, so the mortality signal is somewhat cleaner than real EHR noise. This is expected behavior. Our goal at this stage was not to achieve a clinically validated score, but to confirm that the architecture learns meaningful representations before applying XAI.</w:t>
      </w:r>
    </w:p>
    <w:p>
      <w:pPr>
        <w:spacing w:after="40" w:before="140"/>
      </w:pPr>
      <w:r>
        <w:rPr>
          <w:rFonts w:ascii="Arial" w:cs="Arial" w:eastAsia="Arial" w:hAnsi="Arial"/>
          <w:b/>
          <w:bCs/>
          <w:color w:val="1B6CA8"/>
          <w:sz w:val="22"/>
          <w:szCs w:val="22"/>
        </w:rPr>
        <w:t xml:space="preserve">Q: Why a single attention layer? Wouldn't more layers improve performance?</w:t>
      </w:r>
    </w:p>
    <w:p>
      <w:pPr>
        <w:spacing w:after="80" w:before="0"/>
      </w:pPr>
      <w:r>
        <w:rPr>
          <w:rFonts w:ascii="Arial" w:cs="Arial" w:eastAsia="Arial" w:hAnsi="Arial"/>
          <w:color w:val="1A1A1A"/>
          <w:sz w:val="22"/>
          <w:szCs w:val="22"/>
        </w:rPr>
        <w:t xml:space="preserve">A: Intentionally. A single layer keeps the architecture simple and makes attention rollout interpretable. With multiple layers, rollout requires proper composition of attention matrices across layers — doable, but more complex. We prioritized interpretability at the baseline stage. Multi-layer extension is explicitly listed in our future work.</w:t>
      </w:r>
    </w:p>
    <w:p>
      <w:pPr>
        <w:spacing w:after="40" w:before="140"/>
      </w:pPr>
      <w:r>
        <w:rPr>
          <w:rFonts w:ascii="Arial" w:cs="Arial" w:eastAsia="Arial" w:hAnsi="Arial"/>
          <w:b/>
          <w:bCs/>
          <w:color w:val="1B6CA8"/>
          <w:sz w:val="22"/>
          <w:szCs w:val="22"/>
        </w:rPr>
        <w:t xml:space="preserve">Q: The fidelity curve goes negative for large k — doesn't that mean the explanations fail?</w:t>
      </w:r>
    </w:p>
    <w:p>
      <w:pPr>
        <w:spacing w:after="80" w:before="0"/>
      </w:pPr>
      <w:r>
        <w:rPr>
          <w:rFonts w:ascii="Arial" w:cs="Arial" w:eastAsia="Arial" w:hAnsi="Arial"/>
          <w:color w:val="1A1A1A"/>
          <w:sz w:val="22"/>
          <w:szCs w:val="22"/>
        </w:rPr>
        <w:t xml:space="preserve">A: No. Negative delta at large k means that masking many tokens is disruptive to the model in a way that actually raises the predicted probability — the model is severely out-of-distribution on a nearly empty sequence. The important region is small k, where positive delta confirms the explanations are faithful. The large-k behavior is expected and well-understood in the XAI literature.</w:t>
      </w:r>
    </w:p>
    <w:p>
      <w:pPr>
        <w:spacing w:after="40" w:before="140"/>
      </w:pPr>
      <w:r>
        <w:rPr>
          <w:rFonts w:ascii="Arial" w:cs="Arial" w:eastAsia="Arial" w:hAnsi="Arial"/>
          <w:b/>
          <w:bCs/>
          <w:color w:val="1B6CA8"/>
          <w:sz w:val="22"/>
          <w:szCs w:val="22"/>
        </w:rPr>
        <w:t xml:space="preserve">Q: How do you handle the class imbalance in training?</w:t>
      </w:r>
    </w:p>
    <w:p>
      <w:pPr>
        <w:spacing w:after="80" w:before="0"/>
      </w:pPr>
      <w:r>
        <w:rPr>
          <w:rFonts w:ascii="Arial" w:cs="Arial" w:eastAsia="Arial" w:hAnsi="Arial"/>
          <w:color w:val="1A1A1A"/>
          <w:sz w:val="22"/>
          <w:szCs w:val="22"/>
        </w:rPr>
        <w:t xml:space="preserve">A: We use binary cross-entropy without reweighting and rely on AUROC as the primary metric, which is insensitive to class imbalance by construction. We did not apply oversampling because the imbalance in Synthea is relatively mild at 13 percent, and BCE is sufficient.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100"/>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of  </w:t>
    </w:r>
    <w:r>
      <w:rPr>
        <w:rFonts w:ascii="Arial" w:cs="Arial" w:eastAsia="Arial" w:hAnsi="Arial"/>
        <w:color w:val="5D6D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20"/>
      <w:jc w:val="right"/>
    </w:pPr>
    <w:r>
      <w:rPr>
        <w:rFonts w:ascii="Arial" w:cs="Arial" w:eastAsia="Arial" w:hAnsi="Arial"/>
        <w:i/>
        <w:iCs/>
        <w:color w:val="5D6D7E"/>
        <w:sz w:val="18"/>
        <w:szCs w:val="18"/>
      </w:rPr>
      <w:t xml:space="preserve">ClinicalRiskPredictor — Speaker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60"/>
      <w:outlineLvl w:val="0"/>
    </w:pPr>
    <w:rPr>
      <w:rFonts w:ascii="Arial" w:cs="Arial" w:eastAsia="Arial" w:hAnsi="Arial"/>
      <w:b/>
      <w:bCs/>
      <w:color w:val="0A2342"/>
      <w:sz w:val="36"/>
      <w:szCs w:val="36"/>
    </w:rPr>
  </w:style>
  <w:style w:type="paragraph" w:styleId="Heading2">
    <w:name w:val="Heading 2"/>
    <w:basedOn w:val="Normal"/>
    <w:next w:val="Normal"/>
    <w:pPr>
      <w:spacing w:after="120" w:before="280"/>
      <w:outlineLvl w:val="1"/>
    </w:pPr>
    <w:rPr>
      <w:rFonts w:ascii="Arial" w:cs="Arial" w:eastAsia="Arial" w:hAnsi="Arial"/>
      <w:b/>
      <w:bCs/>
      <w:color w:val="5D6D7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2026-04-22T19:25:46.448Z</dcterms:created>
  <dcterms:modified xsi:type="dcterms:W3CDTF">2026-04-22T19:25:46.449Z</dcterms:modified>
</cp:coreProperties>
</file>

<file path=docProps/custom.xml><?xml version="1.0" encoding="utf-8"?>
<Properties xmlns="http://schemas.openxmlformats.org/officeDocument/2006/custom-properties" xmlns:vt="http://schemas.openxmlformats.org/officeDocument/2006/docPropsVTypes"/>
</file>