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05848" w14:textId="77777777" w:rsidR="00EF7CFA" w:rsidRPr="00EF7CFA" w:rsidRDefault="00EF7CFA" w:rsidP="00EF7CFA">
      <w:pPr>
        <w:jc w:val="both"/>
        <w:rPr>
          <w:rFonts w:ascii="Times New Roman" w:eastAsia="Times New Roman" w:hAnsi="Times New Roman" w:cs="Times New Roman"/>
          <w:b/>
          <w:bCs/>
          <w:sz w:val="28"/>
          <w:szCs w:val="28"/>
          <w:lang w:val="es-CL"/>
        </w:rPr>
      </w:pPr>
      <w:r w:rsidRPr="00EF7CFA">
        <w:rPr>
          <w:rFonts w:ascii="Times New Roman" w:eastAsia="Times New Roman" w:hAnsi="Times New Roman" w:cs="Times New Roman"/>
          <w:b/>
          <w:bCs/>
          <w:sz w:val="28"/>
          <w:szCs w:val="28"/>
          <w:lang w:val="es-CL"/>
        </w:rPr>
        <w:t>Propuesta de narrativa, diseño de información y diseño de interacción</w:t>
      </w:r>
    </w:p>
    <w:p w14:paraId="067E1450" w14:textId="4BC68BDE" w:rsidR="107D58E6" w:rsidRPr="007D4612" w:rsidRDefault="107D58E6" w:rsidP="766B3D4D">
      <w:pPr>
        <w:jc w:val="both"/>
        <w:rPr>
          <w:rFonts w:ascii="Times New Roman" w:eastAsia="Times New Roman" w:hAnsi="Times New Roman" w:cs="Times New Roman"/>
          <w:b/>
          <w:bCs/>
          <w:sz w:val="28"/>
          <w:szCs w:val="28"/>
        </w:rPr>
      </w:pPr>
      <w:r w:rsidRPr="007D4612">
        <w:rPr>
          <w:rFonts w:ascii="Times New Roman" w:eastAsia="Times New Roman" w:hAnsi="Times New Roman" w:cs="Times New Roman"/>
          <w:b/>
          <w:bCs/>
          <w:sz w:val="28"/>
          <w:szCs w:val="28"/>
        </w:rPr>
        <w:t xml:space="preserve">Historia en tres actos: </w:t>
      </w:r>
    </w:p>
    <w:p w14:paraId="5D671B97" w14:textId="711D159A" w:rsidR="007D4612" w:rsidRDefault="00D854BE" w:rsidP="766B3D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Nuestra historia se divide en dos: Acceso e Interés. </w:t>
      </w:r>
      <w:r>
        <w:rPr>
          <w:rFonts w:ascii="Times New Roman" w:eastAsia="Times New Roman" w:hAnsi="Times New Roman" w:cs="Times New Roman"/>
          <w:sz w:val="28"/>
          <w:szCs w:val="28"/>
        </w:rPr>
        <w:br/>
      </w:r>
      <w:r w:rsidR="007D4612">
        <w:rPr>
          <w:rFonts w:ascii="Times New Roman" w:eastAsia="Times New Roman" w:hAnsi="Times New Roman" w:cs="Times New Roman"/>
          <w:sz w:val="28"/>
          <w:szCs w:val="28"/>
        </w:rPr>
        <w:t xml:space="preserve">Comenzamos nuestro reportaje con datos para introducir la pregunta </w:t>
      </w:r>
      <w:r w:rsidR="007D4612" w:rsidRPr="007D4612">
        <w:rPr>
          <w:rFonts w:ascii="Times New Roman" w:eastAsia="Times New Roman" w:hAnsi="Times New Roman" w:cs="Times New Roman"/>
          <w:sz w:val="28"/>
          <w:szCs w:val="28"/>
        </w:rPr>
        <w:t>¿Los chilenos se interesan por el acceso al Servicio Nacional de Bibliotecas Públicas (SNBP)?</w:t>
      </w:r>
      <w:r w:rsidR="007D4612">
        <w:rPr>
          <w:rFonts w:ascii="Times New Roman" w:eastAsia="Times New Roman" w:hAnsi="Times New Roman" w:cs="Times New Roman"/>
          <w:sz w:val="28"/>
          <w:szCs w:val="28"/>
        </w:rPr>
        <w:t xml:space="preserve"> Para luego, comenzar a dar contexto de qué estamos hablando. Mostramos con el primer gráfico la cantidad de bibliotecas públicas que hay por región en Chile. </w:t>
      </w:r>
    </w:p>
    <w:p w14:paraId="146C695A" w14:textId="15C573B0" w:rsidR="007D4612" w:rsidRDefault="007D4612" w:rsidP="007D461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Esto nos permite introducirnos al tema, para comenzar a hablar sobre la relación que existe entre la población por región y la cantidad de bibliotecas. Para ello, creamos una visualización que muestra la </w:t>
      </w:r>
      <w:r w:rsidRPr="007D4612">
        <w:rPr>
          <w:rFonts w:ascii="Times New Roman" w:eastAsia="Times New Roman" w:hAnsi="Times New Roman" w:cs="Times New Roman"/>
          <w:sz w:val="28"/>
          <w:szCs w:val="28"/>
        </w:rPr>
        <w:t>Cantidad de Bibliotecas Públicas por cada 100 mil habitantes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De esta forma representamos</w:t>
      </w:r>
      <w:r w:rsidR="0035099F">
        <w:rPr>
          <w:rFonts w:ascii="Times New Roman" w:eastAsia="Times New Roman" w:hAnsi="Times New Roman" w:cs="Times New Roman"/>
          <w:sz w:val="28"/>
          <w:szCs w:val="28"/>
        </w:rPr>
        <w:t xml:space="preserve"> de manera visual</w:t>
      </w:r>
      <w:r>
        <w:rPr>
          <w:rFonts w:ascii="Times New Roman" w:eastAsia="Times New Roman" w:hAnsi="Times New Roman" w:cs="Times New Roman"/>
          <w:sz w:val="28"/>
          <w:szCs w:val="28"/>
        </w:rPr>
        <w:t xml:space="preserve"> la diferencia de acceso según cada región</w:t>
      </w:r>
      <w:r w:rsidR="0035099F">
        <w:rPr>
          <w:rFonts w:ascii="Times New Roman" w:eastAsia="Times New Roman" w:hAnsi="Times New Roman" w:cs="Times New Roman"/>
          <w:sz w:val="28"/>
          <w:szCs w:val="28"/>
        </w:rPr>
        <w:t xml:space="preserve">. </w:t>
      </w:r>
    </w:p>
    <w:p w14:paraId="70064691" w14:textId="027A204D" w:rsidR="0035099F" w:rsidRDefault="0035099F" w:rsidP="007D461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Luego, seguimos contextualizando con nuestro mapa interactivo con las bibliotecas que hay en Chile. Para pasar a hablar del </w:t>
      </w:r>
      <w:r w:rsidRPr="0035099F">
        <w:rPr>
          <w:rFonts w:ascii="Times New Roman" w:eastAsia="Times New Roman" w:hAnsi="Times New Roman" w:cs="Times New Roman"/>
          <w:b/>
          <w:bCs/>
          <w:sz w:val="28"/>
          <w:szCs w:val="28"/>
        </w:rPr>
        <w:t>BPDigital</w:t>
      </w:r>
      <w:r w:rsidRPr="0035099F">
        <w:rPr>
          <w:rFonts w:ascii="Times New Roman" w:eastAsia="Times New Roman" w:hAnsi="Times New Roman" w:cs="Times New Roman"/>
          <w:sz w:val="28"/>
          <w:szCs w:val="28"/>
        </w:rPr>
        <w:t>, ya que, estamos considerando que pasamos por años de pandemia</w:t>
      </w:r>
      <w:r w:rsidR="00D854BE">
        <w:rPr>
          <w:rFonts w:ascii="Times New Roman" w:eastAsia="Times New Roman" w:hAnsi="Times New Roman" w:cs="Times New Roman"/>
          <w:sz w:val="28"/>
          <w:szCs w:val="28"/>
        </w:rPr>
        <w:t>,</w:t>
      </w:r>
      <w:r w:rsidRPr="0035099F">
        <w:rPr>
          <w:rFonts w:ascii="Times New Roman" w:eastAsia="Times New Roman" w:hAnsi="Times New Roman" w:cs="Times New Roman"/>
          <w:sz w:val="28"/>
          <w:szCs w:val="28"/>
        </w:rPr>
        <w:t xml:space="preserve"> donde el acceso a libros físicos era limitado</w:t>
      </w:r>
      <w:r w:rsidR="00D854BE">
        <w:rPr>
          <w:rFonts w:ascii="Times New Roman" w:eastAsia="Times New Roman" w:hAnsi="Times New Roman" w:cs="Times New Roman"/>
          <w:sz w:val="28"/>
          <w:szCs w:val="28"/>
        </w:rPr>
        <w:t>. Para tomar en cuenta esta variable presentamos el gráfico que muestra el porcentaje de préstamos online por año y mencionamos la variación del presupuesto destinado a este servicio. Aquí terminamos de hablar del acceso y el servicio que brinda el SNBP.</w:t>
      </w:r>
    </w:p>
    <w:p w14:paraId="278E28FF" w14:textId="7A12168C" w:rsidR="00D854BE" w:rsidRDefault="00D854BE" w:rsidP="007D461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Pasamos a representar el interés de las personas en usar el SNBP, con el gráfico préstamos por región por año y luego el de personas socias y préstamos. Estos dan cuenta del interés que tienen las personas en usar el servicio de bibliotecas públicas. </w:t>
      </w:r>
    </w:p>
    <w:p w14:paraId="3A733733" w14:textId="5F6D10FD" w:rsidR="00184E6A" w:rsidRPr="00184E6A" w:rsidRDefault="00184E6A" w:rsidP="00184E6A">
      <w:pPr>
        <w:jc w:val="both"/>
        <w:rPr>
          <w:rFonts w:ascii="Times New Roman" w:eastAsia="Times New Roman" w:hAnsi="Times New Roman" w:cs="Times New Roman"/>
          <w:sz w:val="28"/>
          <w:szCs w:val="28"/>
          <w:lang w:val="es-CL"/>
        </w:rPr>
      </w:pPr>
      <w:r>
        <w:rPr>
          <w:rFonts w:ascii="Times New Roman" w:eastAsia="Times New Roman" w:hAnsi="Times New Roman" w:cs="Times New Roman"/>
          <w:sz w:val="28"/>
          <w:szCs w:val="28"/>
        </w:rPr>
        <w:t xml:space="preserve">Terminamos con nuestra conclusión, la cual es que </w:t>
      </w:r>
      <w:r>
        <w:rPr>
          <w:rFonts w:ascii="Times New Roman" w:eastAsia="Times New Roman" w:hAnsi="Times New Roman" w:cs="Times New Roman"/>
          <w:sz w:val="28"/>
          <w:szCs w:val="28"/>
          <w:lang w:val="es-CL"/>
        </w:rPr>
        <w:t>l</w:t>
      </w:r>
      <w:r w:rsidRPr="00184E6A">
        <w:rPr>
          <w:rFonts w:ascii="Times New Roman" w:eastAsia="Times New Roman" w:hAnsi="Times New Roman" w:cs="Times New Roman"/>
          <w:sz w:val="28"/>
          <w:szCs w:val="28"/>
          <w:lang w:val="es-CL"/>
        </w:rPr>
        <w:t>os beneficios en torno a la lectura, si bien son territorialmente equitativos, existe un bajísimo interés de parte de la población en formar parte de la comunidad del SNBP, por lo que, además de políticas públicas que aseguren el acceso universal a la lectura, es de fundamental importancia acompañarlo de un plan contundente de difusión.</w:t>
      </w:r>
    </w:p>
    <w:p w14:paraId="189F7E1A" w14:textId="77777777" w:rsidR="00184E6A" w:rsidRDefault="00184E6A" w:rsidP="766B3D4D">
      <w:pPr>
        <w:jc w:val="both"/>
        <w:rPr>
          <w:rFonts w:ascii="Times New Roman" w:eastAsia="Times New Roman" w:hAnsi="Times New Roman" w:cs="Times New Roman"/>
          <w:sz w:val="28"/>
          <w:szCs w:val="28"/>
        </w:rPr>
      </w:pPr>
    </w:p>
    <w:p w14:paraId="44EB7E51" w14:textId="442BF17E" w:rsidR="0872A62B" w:rsidRDefault="073C1964" w:rsidP="4632E973">
      <w:pPr>
        <w:jc w:val="both"/>
        <w:rPr>
          <w:rFonts w:ascii="Times New Roman" w:eastAsia="Times New Roman" w:hAnsi="Times New Roman" w:cs="Times New Roman"/>
          <w:sz w:val="28"/>
          <w:szCs w:val="28"/>
        </w:rPr>
      </w:pPr>
      <w:r w:rsidRPr="4632E973">
        <w:rPr>
          <w:rFonts w:ascii="Times New Roman" w:eastAsia="Times New Roman" w:hAnsi="Times New Roman" w:cs="Times New Roman"/>
          <w:sz w:val="28"/>
          <w:szCs w:val="28"/>
        </w:rPr>
        <w:t xml:space="preserve"> </w:t>
      </w:r>
    </w:p>
    <w:sectPr w:rsidR="0872A6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46DDAD"/>
    <w:multiLevelType w:val="hybridMultilevel"/>
    <w:tmpl w:val="42287F64"/>
    <w:lvl w:ilvl="0" w:tplc="883E1720">
      <w:start w:val="1"/>
      <w:numFmt w:val="bullet"/>
      <w:lvlText w:val=""/>
      <w:lvlJc w:val="left"/>
      <w:pPr>
        <w:ind w:left="720" w:hanging="360"/>
      </w:pPr>
      <w:rPr>
        <w:rFonts w:ascii="Symbol" w:hAnsi="Symbol" w:hint="default"/>
      </w:rPr>
    </w:lvl>
    <w:lvl w:ilvl="1" w:tplc="AEAC8A72">
      <w:start w:val="1"/>
      <w:numFmt w:val="bullet"/>
      <w:lvlText w:val="o"/>
      <w:lvlJc w:val="left"/>
      <w:pPr>
        <w:ind w:left="1440" w:hanging="360"/>
      </w:pPr>
      <w:rPr>
        <w:rFonts w:ascii="Courier New" w:hAnsi="Courier New" w:hint="default"/>
      </w:rPr>
    </w:lvl>
    <w:lvl w:ilvl="2" w:tplc="AA9EEDFC">
      <w:start w:val="1"/>
      <w:numFmt w:val="bullet"/>
      <w:lvlText w:val=""/>
      <w:lvlJc w:val="left"/>
      <w:pPr>
        <w:ind w:left="2160" w:hanging="360"/>
      </w:pPr>
      <w:rPr>
        <w:rFonts w:ascii="Wingdings" w:hAnsi="Wingdings" w:hint="default"/>
      </w:rPr>
    </w:lvl>
    <w:lvl w:ilvl="3" w:tplc="A0681CEE">
      <w:start w:val="1"/>
      <w:numFmt w:val="bullet"/>
      <w:lvlText w:val=""/>
      <w:lvlJc w:val="left"/>
      <w:pPr>
        <w:ind w:left="2880" w:hanging="360"/>
      </w:pPr>
      <w:rPr>
        <w:rFonts w:ascii="Symbol" w:hAnsi="Symbol" w:hint="default"/>
      </w:rPr>
    </w:lvl>
    <w:lvl w:ilvl="4" w:tplc="55726046">
      <w:start w:val="1"/>
      <w:numFmt w:val="bullet"/>
      <w:lvlText w:val="o"/>
      <w:lvlJc w:val="left"/>
      <w:pPr>
        <w:ind w:left="3600" w:hanging="360"/>
      </w:pPr>
      <w:rPr>
        <w:rFonts w:ascii="Courier New" w:hAnsi="Courier New" w:hint="default"/>
      </w:rPr>
    </w:lvl>
    <w:lvl w:ilvl="5" w:tplc="CE144ACC">
      <w:start w:val="1"/>
      <w:numFmt w:val="bullet"/>
      <w:lvlText w:val=""/>
      <w:lvlJc w:val="left"/>
      <w:pPr>
        <w:ind w:left="4320" w:hanging="360"/>
      </w:pPr>
      <w:rPr>
        <w:rFonts w:ascii="Wingdings" w:hAnsi="Wingdings" w:hint="default"/>
      </w:rPr>
    </w:lvl>
    <w:lvl w:ilvl="6" w:tplc="CCE2A180">
      <w:start w:val="1"/>
      <w:numFmt w:val="bullet"/>
      <w:lvlText w:val=""/>
      <w:lvlJc w:val="left"/>
      <w:pPr>
        <w:ind w:left="5040" w:hanging="360"/>
      </w:pPr>
      <w:rPr>
        <w:rFonts w:ascii="Symbol" w:hAnsi="Symbol" w:hint="default"/>
      </w:rPr>
    </w:lvl>
    <w:lvl w:ilvl="7" w:tplc="18FCE9DE">
      <w:start w:val="1"/>
      <w:numFmt w:val="bullet"/>
      <w:lvlText w:val="o"/>
      <w:lvlJc w:val="left"/>
      <w:pPr>
        <w:ind w:left="5760" w:hanging="360"/>
      </w:pPr>
      <w:rPr>
        <w:rFonts w:ascii="Courier New" w:hAnsi="Courier New" w:hint="default"/>
      </w:rPr>
    </w:lvl>
    <w:lvl w:ilvl="8" w:tplc="77626426">
      <w:start w:val="1"/>
      <w:numFmt w:val="bullet"/>
      <w:lvlText w:val=""/>
      <w:lvlJc w:val="left"/>
      <w:pPr>
        <w:ind w:left="6480" w:hanging="360"/>
      </w:pPr>
      <w:rPr>
        <w:rFonts w:ascii="Wingdings" w:hAnsi="Wingdings" w:hint="default"/>
      </w:rPr>
    </w:lvl>
  </w:abstractNum>
  <w:num w:numId="1" w16cid:durableId="113495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6FF4F2"/>
    <w:rsid w:val="00184E6A"/>
    <w:rsid w:val="00341051"/>
    <w:rsid w:val="0035099F"/>
    <w:rsid w:val="004CC2A1"/>
    <w:rsid w:val="00619787"/>
    <w:rsid w:val="007947FB"/>
    <w:rsid w:val="007D4612"/>
    <w:rsid w:val="00C64D29"/>
    <w:rsid w:val="00D854BE"/>
    <w:rsid w:val="00EF7CFA"/>
    <w:rsid w:val="040767AA"/>
    <w:rsid w:val="073C1964"/>
    <w:rsid w:val="0872A62B"/>
    <w:rsid w:val="09E0EA82"/>
    <w:rsid w:val="0B004F16"/>
    <w:rsid w:val="0C57D040"/>
    <w:rsid w:val="0E5968E0"/>
    <w:rsid w:val="0FF2FE59"/>
    <w:rsid w:val="107D58E6"/>
    <w:rsid w:val="1106B833"/>
    <w:rsid w:val="115E24CE"/>
    <w:rsid w:val="11E1ABB5"/>
    <w:rsid w:val="12C5BFC7"/>
    <w:rsid w:val="139125C0"/>
    <w:rsid w:val="16B6B4D3"/>
    <w:rsid w:val="1B340659"/>
    <w:rsid w:val="1D935D0A"/>
    <w:rsid w:val="1FDC3793"/>
    <w:rsid w:val="200EC9C2"/>
    <w:rsid w:val="2238C9F6"/>
    <w:rsid w:val="231BB120"/>
    <w:rsid w:val="25F65243"/>
    <w:rsid w:val="2731CEE2"/>
    <w:rsid w:val="2B8125DE"/>
    <w:rsid w:val="2D5C4ABE"/>
    <w:rsid w:val="2F752048"/>
    <w:rsid w:val="2FF1A255"/>
    <w:rsid w:val="312FCE7B"/>
    <w:rsid w:val="3176F034"/>
    <w:rsid w:val="31C1FBD8"/>
    <w:rsid w:val="354B7080"/>
    <w:rsid w:val="3628DA28"/>
    <w:rsid w:val="3636472D"/>
    <w:rsid w:val="406FF4F2"/>
    <w:rsid w:val="42D8310E"/>
    <w:rsid w:val="458E4C9D"/>
    <w:rsid w:val="4632E973"/>
    <w:rsid w:val="496DF33E"/>
    <w:rsid w:val="4BE403A3"/>
    <w:rsid w:val="557F4AF1"/>
    <w:rsid w:val="591F5967"/>
    <w:rsid w:val="5A480243"/>
    <w:rsid w:val="5B37661F"/>
    <w:rsid w:val="5B53B3BC"/>
    <w:rsid w:val="5DBD2B98"/>
    <w:rsid w:val="5E2D0AE6"/>
    <w:rsid w:val="639CCA58"/>
    <w:rsid w:val="63A7DADC"/>
    <w:rsid w:val="66E1F837"/>
    <w:rsid w:val="67477520"/>
    <w:rsid w:val="69760C72"/>
    <w:rsid w:val="713DD36A"/>
    <w:rsid w:val="71563B79"/>
    <w:rsid w:val="71C0891B"/>
    <w:rsid w:val="734A2BB2"/>
    <w:rsid w:val="766B3D4D"/>
    <w:rsid w:val="7B4816EC"/>
    <w:rsid w:val="7F9CF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F4F2"/>
  <w15:chartTrackingRefBased/>
  <w15:docId w15:val="{CC0BEA08-9D48-4CDF-920E-CE1F6A9B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632E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251615">
      <w:bodyDiv w:val="1"/>
      <w:marLeft w:val="0"/>
      <w:marRight w:val="0"/>
      <w:marTop w:val="0"/>
      <w:marBottom w:val="0"/>
      <w:divBdr>
        <w:top w:val="none" w:sz="0" w:space="0" w:color="auto"/>
        <w:left w:val="none" w:sz="0" w:space="0" w:color="auto"/>
        <w:bottom w:val="none" w:sz="0" w:space="0" w:color="auto"/>
        <w:right w:val="none" w:sz="0" w:space="0" w:color="auto"/>
      </w:divBdr>
    </w:div>
    <w:div w:id="1374385451">
      <w:bodyDiv w:val="1"/>
      <w:marLeft w:val="0"/>
      <w:marRight w:val="0"/>
      <w:marTop w:val="0"/>
      <w:marBottom w:val="0"/>
      <w:divBdr>
        <w:top w:val="none" w:sz="0" w:space="0" w:color="auto"/>
        <w:left w:val="none" w:sz="0" w:space="0" w:color="auto"/>
        <w:bottom w:val="none" w:sz="0" w:space="0" w:color="auto"/>
        <w:right w:val="none" w:sz="0" w:space="0" w:color="auto"/>
      </w:divBdr>
    </w:div>
    <w:div w:id="1792554747">
      <w:bodyDiv w:val="1"/>
      <w:marLeft w:val="0"/>
      <w:marRight w:val="0"/>
      <w:marTop w:val="0"/>
      <w:marBottom w:val="0"/>
      <w:divBdr>
        <w:top w:val="none" w:sz="0" w:space="0" w:color="auto"/>
        <w:left w:val="none" w:sz="0" w:space="0" w:color="auto"/>
        <w:bottom w:val="none" w:sz="0" w:space="0" w:color="auto"/>
        <w:right w:val="none" w:sz="0" w:space="0" w:color="auto"/>
      </w:divBdr>
    </w:div>
    <w:div w:id="19503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302</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Paz López Tapia</dc:creator>
  <cp:keywords/>
  <dc:description/>
  <cp:lastModifiedBy>Fernanda Amara Rivera Robledo</cp:lastModifiedBy>
  <cp:revision>5</cp:revision>
  <dcterms:created xsi:type="dcterms:W3CDTF">2024-12-05T03:38:00Z</dcterms:created>
  <dcterms:modified xsi:type="dcterms:W3CDTF">2024-12-05T05:48:00Z</dcterms:modified>
</cp:coreProperties>
</file>