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708" w:left="360" w:right="0"/>
        <w:rPr/>
      </w:pPr>
      <w:r>
        <w:rPr/>
        <w:drawing>
          <wp:inline distT="0" distB="0" distL="0" distR="0">
            <wp:extent cx="1606550" cy="79057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7" t="-15" r="-7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firstLine="708" w:left="7080" w:right="0"/>
        <w:rPr/>
      </w:pPr>
      <w:r>
        <w:rPr/>
      </w:r>
    </w:p>
    <w:p>
      <w:pPr>
        <w:pStyle w:val="fcm"/>
        <w:spacing w:before="960" w:after="280"/>
        <w:jc w:val="center"/>
        <w:rPr/>
      </w:pPr>
      <w:r>
        <w:rPr/>
      </w:r>
    </w:p>
    <w:p>
      <w:pPr>
        <w:pStyle w:val="fcm"/>
        <w:spacing w:before="960" w:after="280"/>
        <w:jc w:val="center"/>
        <w:rPr/>
      </w:pPr>
      <w:r>
        <w:rPr/>
        <w:t>GYÁRTMÁNYLAP</w:t>
      </w:r>
    </w:p>
    <w:p>
      <w:pPr>
        <w:pStyle w:val="fcm"/>
        <w:spacing w:before="960" w:after="280"/>
        <w:jc w:val="center"/>
        <w:rPr>
          <w:sz w:val="40"/>
          <w:szCs w:val="40"/>
        </w:rPr>
      </w:pPr>
      <w:r>
        <w:rPr>
          <w:sz w:val="44"/>
          <w:szCs w:val="44"/>
        </w:rPr>
        <w:t xml:space="preserve">{{productNameUpper}}</w:t>
      </w:r>
    </w:p>
    <w:p>
      <w:pPr>
        <w:pStyle w:val="Normal"/>
        <w:rPr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{{description}}</w:t>
      </w:r>
    </w:p>
    <w:p>
      <w:pPr>
        <w:pStyle w:val="Normal"/>
        <w:rPr>
          <w:b/>
          <w:sz w:val="40"/>
          <w:szCs w:val="40"/>
        </w:rPr>
      </w:pPr>
      <w:r>
        <w:rPr>
          <w:b/>
          <w:sz w:val="40"/>
          <w:szCs w:val="40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3265"/>
        <w:gridCol w:w="1883"/>
        <w:gridCol w:w="1715"/>
        <w:gridCol w:w="3433"/>
      </w:tblGrid>
      <w:tr>
        <w:trPr>
          <w:trHeight w:val="300" w:hRule="atLeast"/>
        </w:trPr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Footer"/>
              <w:jc w:val="center"/>
              <w:rPr/>
            </w:pPr>
            <w:r>
              <w:rPr/>
              <w:t xml:space="preserve">Gyártmánylap elkészítéséért </w:t>
            </w:r>
          </w:p>
          <w:p>
            <w:pPr>
              <w:pStyle w:val="Footer"/>
              <w:jc w:val="center"/>
              <w:rPr>
                <w:lang w:val="hu-HU"/>
              </w:rPr>
            </w:pPr>
            <w:r>
              <w:rPr/>
              <w:t>felelõs</w:t>
            </w:r>
            <w:r>
              <w:rPr>
                <w:lang w:val="hu-HU"/>
              </w:rPr>
              <w:t xml:space="preserve"> személy:</w:t>
            </w:r>
          </w:p>
          <w:p>
            <w:pPr>
              <w:pStyle w:val="Footer"/>
              <w:jc w:val="center"/>
              <w:rPr>
                <w:lang w:val="hu-HU"/>
              </w:rPr>
            </w:pPr>
            <w:r>
              <w:rPr>
                <w:lang w:val="hu-HU"/>
              </w:rPr>
              <w:t xml:space="preserve">{{preparedBy}}</w:t>
            </w:r>
          </w:p>
        </w:tc>
        <w:tc>
          <w:tcPr>
            <w:tcW w:w="3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/>
            </w:pPr>
            <w:r>
              <w:rPr>
                <w:sz w:val="20"/>
                <w:szCs w:val="20"/>
              </w:rPr>
              <w:t>Az élelmiszer előállításáért</w:t>
            </w:r>
          </w:p>
          <w:p>
            <w:pPr>
              <w:pStyle w:val="Footer"/>
              <w:jc w:val="center"/>
              <w:rPr/>
            </w:pPr>
            <w:r>
              <w:rPr/>
              <w:t>szakmailag felelős személy:</w:t>
            </w:r>
          </w:p>
          <w:p>
            <w:pPr>
              <w:pStyle w:val="Footer"/>
              <w:jc w:val="center"/>
              <w:rPr/>
            </w:pPr>
            <w:r>
              <w:rPr/>
              <w:t xml:space="preserve">{{responsible}}</w:t>
            </w:r>
          </w:p>
        </w:tc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Footer"/>
              <w:jc w:val="center"/>
              <w:rPr>
                <w:lang w:val="hu-HU"/>
              </w:rPr>
            </w:pPr>
            <w:r>
              <w:rPr>
                <w:lang w:val="hu-HU"/>
              </w:rPr>
              <w:t>Jóváhagyó:</w:t>
            </w:r>
          </w:p>
          <w:p>
            <w:pPr>
              <w:pStyle w:val="Footer"/>
              <w:jc w:val="center"/>
              <w:rPr/>
            </w:pPr>
            <w:r>
              <w:rPr/>
              <w:t xml:space="preserve">{{approver}}</w:t>
            </w:r>
          </w:p>
        </w:tc>
      </w:tr>
      <w:tr>
        <w:trPr>
          <w:trHeight w:val="298" w:hRule="atLeast"/>
        </w:trPr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Footer"/>
              <w:rPr/>
            </w:pPr>
            <w:r>
              <w:rPr/>
              <w:t>Aláírás:</w:t>
            </w:r>
          </w:p>
          <w:p>
            <w:pPr>
              <w:pStyle w:val="Footer"/>
              <w:rPr/>
            </w:pPr>
            <w:r>
              <w:rPr/>
            </w:r>
          </w:p>
          <w:p>
            <w:pPr>
              <w:pStyle w:val="Footer"/>
              <w:rPr/>
            </w:pPr>
            <w:r>
              <w:rPr/>
            </w:r>
          </w:p>
          <w:p>
            <w:pPr>
              <w:pStyle w:val="Footer"/>
              <w:rPr/>
            </w:pPr>
            <w:r>
              <w:rPr/>
            </w:r>
          </w:p>
        </w:tc>
        <w:tc>
          <w:tcPr>
            <w:tcW w:w="3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Footer"/>
              <w:rPr/>
            </w:pPr>
            <w:r>
              <w:rPr/>
              <w:t>Aláírás:</w:t>
            </w:r>
          </w:p>
        </w:tc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Footer"/>
              <w:rPr/>
            </w:pPr>
            <w:r>
              <w:rPr/>
              <w:t>Aláírás:</w:t>
            </w:r>
          </w:p>
        </w:tc>
      </w:tr>
      <w:tr>
        <w:trPr>
          <w:trHeight w:val="575" w:hRule="atLeast"/>
          <w:cantSplit w:val="true"/>
        </w:trPr>
        <w:tc>
          <w:tcPr>
            <w:tcW w:w="51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oter"/>
              <w:rPr>
                <w:sz w:val="24"/>
                <w:szCs w:val="24"/>
                <w:lang w:val="hu-HU"/>
              </w:rPr>
            </w:pPr>
            <w:r>
              <w:rPr>
                <w:b/>
                <w:bCs/>
                <w:sz w:val="24"/>
                <w:szCs w:val="24"/>
                <w:lang w:val="hu-HU"/>
              </w:rPr>
              <w:t xml:space="preserve">Érvénybe lépés dátuma: {{effectiveDate}}</w:t>
            </w:r>
          </w:p>
          <w:p>
            <w:pPr>
              <w:pStyle w:val="Footer"/>
              <w:rPr/>
            </w:pPr>
            <w:r>
              <w:rPr>
                <w:b/>
                <w:sz w:val="24"/>
                <w:szCs w:val="24"/>
                <w:lang w:val="hu-HU"/>
              </w:rPr>
              <w:t xml:space="preserve">Érvényesség:           </w:t>
            </w:r>
            <w:r>
              <w:rPr>
                <w:sz w:val="24"/>
                <w:szCs w:val="24"/>
                <w:lang w:val="hu-HU"/>
              </w:rPr>
              <w:t>visszavonásig</w:t>
            </w:r>
          </w:p>
        </w:tc>
        <w:tc>
          <w:tcPr>
            <w:tcW w:w="51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oter"/>
              <w:rPr/>
            </w:pPr>
            <w:r>
              <w:rPr>
                <w:b/>
                <w:bCs/>
                <w:sz w:val="24"/>
                <w:szCs w:val="24"/>
              </w:rPr>
              <w:t>Példány sorszáma</w:t>
            </w:r>
            <w:r>
              <w:rPr>
                <w:sz w:val="24"/>
                <w:szCs w:val="24"/>
              </w:rPr>
              <w:t>:1.</w:t>
            </w:r>
          </w:p>
        </w:tc>
      </w:tr>
    </w:tbl>
    <w:p>
      <w:pPr>
        <w:pStyle w:val="Heading5"/>
        <w:ind w:hanging="0" w:lef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ubtitle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ubtitle"/>
        <w:jc w:val="both"/>
        <w:rPr/>
      </w:pPr>
      <w:r>
        <w:rPr>
          <w:rFonts w:cs="Times New Roman" w:ascii="Times New Roman" w:hAnsi="Times New Roman"/>
        </w:rPr>
        <w:t xml:space="preserve">E dokumentum felülvizsgálata évente egyszer és a receptura módosításoknak megfelelően történik, aktuális változata az intraneten a  </w:t>
      </w:r>
      <w:r>
        <w:rPr>
          <w:rFonts w:cs="Times New Roman" w:ascii="Times New Roman" w:hAnsi="Times New Roman"/>
          <w:color w:val="0000FF"/>
        </w:rPr>
        <w:t>http://our.frieslandcampina.biz/</w:t>
      </w:r>
      <w:r>
        <w:rPr>
          <w:rFonts w:cs="Times New Roman" w:ascii="Times New Roman" w:hAnsi="Times New Roman"/>
        </w:rPr>
        <w:t xml:space="preserve"> címen érhető el.</w:t>
      </w:r>
    </w:p>
    <w:p>
      <w:pPr>
        <w:sectPr>
          <w:headerReference w:type="default" r:id="rId3"/>
          <w:footerReference w:type="default" r:id="rId4"/>
          <w:type w:val="nextPage"/>
          <w:pgSz w:w="11906" w:h="16838"/>
          <w:pgMar w:left="720" w:right="890" w:gutter="0" w:header="709" w:top="765" w:footer="709" w:bottom="765"/>
          <w:pgNumType w:start="1" w:fmt="decimal"/>
          <w:formProt w:val="false"/>
          <w:textDirection w:val="lrTb"/>
          <w:docGrid w:type="default" w:linePitch="360" w:charSpace="0"/>
        </w:sectPr>
        <w:pStyle w:val="Subtitle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</w:rPr>
        <w:t>Kérem, hogy nyomtatott példányának érvényességét használatba vétel előtt ellenőrizze!</w:t>
      </w:r>
    </w:p>
    <w:p>
      <w:pPr>
        <w:pStyle w:val="Heading1"/>
        <w:numPr>
          <w:ilvl w:val="0"/>
          <w:numId w:val="6"/>
        </w:numPr>
        <w:ind w:hanging="11" w:left="0" w:righ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Az élelmiszer-előállítóra vonatkozó azonosító adatok:</w:t>
      </w:r>
    </w:p>
    <w:p>
      <w:pPr>
        <w:pStyle w:val="Normal"/>
        <w:autoSpaceDE w:val="false"/>
        <w:spacing w:before="120" w:after="0"/>
        <w:ind w:left="1080" w:right="0"/>
        <w:rPr>
          <w:rFonts w:ascii="Times New Roman" w:hAnsi="Times New Roman" w:cs="Times New Roman"/>
          <w:b/>
          <w:sz w:val="10"/>
          <w:szCs w:val="10"/>
        </w:rPr>
      </w:pPr>
      <w:r>
        <w:rPr>
          <w:rFonts w:cs="Times New Roman"/>
          <w:b/>
          <w:sz w:val="10"/>
          <w:szCs w:val="10"/>
        </w:rPr>
      </w:r>
    </w:p>
    <w:p>
      <w:pPr>
        <w:pStyle w:val="Heading2"/>
        <w:rPr/>
      </w:pPr>
      <w:r>
        <w:rPr/>
        <w:t xml:space="preserve">I/1. </w:t>
        <w:tab/>
        <w:t>Az élelmiszer-előállító vállalkozás neve és székhelyének címe:</w:t>
      </w:r>
    </w:p>
    <w:p>
      <w:pPr>
        <w:pStyle w:val="Normal"/>
        <w:autoSpaceDE w:val="false"/>
        <w:spacing w:before="120" w:after="0"/>
        <w:ind w:firstLine="708" w:right="0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 xml:space="preserve">{{manufacturer}}</w:t>
      </w:r>
    </w:p>
    <w:p>
      <w:pPr>
        <w:pStyle w:val="Normal"/>
        <w:ind w:hanging="12" w:left="720" w:right="0"/>
        <w:jc w:val="center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Heading2"/>
        <w:rPr/>
      </w:pPr>
      <w:r>
        <w:rPr/>
        <w:t xml:space="preserve">I/2. </w:t>
        <w:tab/>
        <w:t xml:space="preserve">A gyártmánylap szerinti élelmiszer előállítási helyének, illetve helyeinek </w:t>
      </w:r>
    </w:p>
    <w:p>
      <w:pPr>
        <w:pStyle w:val="Heading2"/>
        <w:rPr/>
      </w:pPr>
      <w:r>
        <w:rPr/>
        <w:tab/>
        <w:t>címe:</w:t>
      </w:r>
    </w:p>
    <w:p>
      <w:pPr>
        <w:pStyle w:val="Heading2"/>
        <w:ind w:hanging="0" w:left="708" w:right="0"/>
        <w:rPr>
          <w:sz w:val="10"/>
          <w:szCs w:val="10"/>
        </w:rPr>
      </w:pPr>
      <w:r>
        <w:rPr/>
        <w:t xml:space="preserve">       </w:t>
      </w:r>
    </w:p>
    <w:p>
      <w:pPr>
        <w:pStyle w:val="Normal"/>
        <w:jc w:val="center"/>
        <w:rPr/>
      </w:pPr>
      <w:r>
        <w:rPr>
          <w:b/>
          <w:bCs/>
        </w:rPr>
        <w:t xml:space="preserve">{{plantName}}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 xml:space="preserve">{{plantAddress}}</w:t>
      </w:r>
    </w:p>
    <w:p>
      <w:pPr>
        <w:pStyle w:val="Normal"/>
        <w:rPr/>
      </w:pPr>
      <w:r>
        <w:rPr/>
        <w:tab/>
        <w:tab/>
      </w:r>
    </w:p>
    <w:p>
      <w:pPr>
        <w:pStyle w:val="Normal"/>
        <w:ind w:firstLine="708" w:left="2124" w:right="0"/>
        <w:rPr/>
      </w:pPr>
      <w:r>
        <w:rPr/>
        <w:t xml:space="preserve">Az üzem egészségügyi jele: {{healthMark}}</w:t>
      </w:r>
    </w:p>
    <w:p>
      <w:pPr>
        <w:pStyle w:val="Heading1"/>
        <w:numPr>
          <w:ilvl w:val="0"/>
          <w:numId w:val="6"/>
        </w:numPr>
        <w:ind w:hanging="11" w:left="0" w:righ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Az élelmiszer előállításával kapcsolatos adatok</w:t>
      </w:r>
    </w:p>
    <w:p>
      <w:pPr>
        <w:pStyle w:val="Normal"/>
        <w:rPr>
          <w:rFonts w:ascii="Times New Roman" w:hAnsi="Times New Roman" w:cs="Times New Roman"/>
          <w:sz w:val="10"/>
          <w:szCs w:val="10"/>
        </w:rPr>
      </w:pPr>
      <w:r>
        <w:rPr>
          <w:rFonts w:cs="Times New Roman"/>
          <w:sz w:val="10"/>
          <w:szCs w:val="10"/>
        </w:rPr>
      </w:r>
    </w:p>
    <w:p>
      <w:pPr>
        <w:pStyle w:val="Heading2"/>
        <w:ind w:firstLine="142" w:right="0"/>
        <w:rPr/>
      </w:pPr>
      <w:r>
        <w:rPr/>
        <w:t xml:space="preserve">II/1. </w:t>
        <w:tab/>
        <w:t>Az élelmiszer forgalomba hozatala során használt megnevezése:</w:t>
      </w:r>
    </w:p>
    <w:p>
      <w:pPr>
        <w:pStyle w:val="Normal"/>
        <w:numPr>
          <w:ilvl w:val="5"/>
          <w:numId w:val="4"/>
        </w:numPr>
        <w:ind w:hanging="360" w:left="1418" w:right="0"/>
        <w:rPr>
          <w:szCs w:val="28"/>
        </w:rPr>
      </w:pPr>
      <w:r>
        <w:rPr>
          <w:szCs w:val="28"/>
        </w:rPr>
        <w:t xml:space="preserve">{{legalName}}</w:t>
      </w:r>
    </w:p>
    <w:p>
      <w:pPr>
        <w:pStyle w:val="Normal"/>
        <w:ind w:left="1418" w:right="0"/>
        <w:rPr/>
      </w:pPr>
      <w:r>
        <w:rPr>
          <w:color w:val="000000"/>
        </w:rPr>
        <w:t xml:space="preserve">{{description}}</w:t>
      </w:r>
    </w:p>
    <w:p>
      <w:pPr>
        <w:pStyle w:val="Normal"/>
        <w:ind w:left="1418" w:right="0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Normal"/>
        <w:numPr>
          <w:ilvl w:val="5"/>
          <w:numId w:val="4"/>
        </w:numPr>
        <w:ind w:hanging="0" w:left="142" w:right="0"/>
        <w:rPr/>
      </w:pPr>
      <w:r>
        <w:rPr/>
        <w:t>II/2. Az élelmiszer egységnyi mennyiségű előállításához felhasznált valamennyi összetevő neve, előállítás kori tömegük csökkenő sorrendjében:</w:t>
      </w:r>
    </w:p>
    <w:p>
      <w:pPr>
        <w:pStyle w:val="Normal"/>
        <w:ind w:left="142" w:right="0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Normal"/>
        <w:ind w:left="2160" w:right="0"/>
        <w:rPr/>
      </w:pPr>
      <w:r>
        <w:rPr>
          <w:sz w:val="18"/>
          <w:szCs w:val="18"/>
        </w:rPr>
        <w:t xml:space="preserve">{{ingredientsList}}</w:t>
      </w:r>
    </w:p>
    <w:p>
      <w:pPr>
        <w:pStyle w:val="Normal"/>
        <w:ind w:left="2160" w:right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Heading2"/>
        <w:ind w:hanging="0" w:left="142" w:right="0"/>
        <w:rPr>
          <w:sz w:val="10"/>
          <w:szCs w:val="10"/>
        </w:rPr>
      </w:pPr>
      <w:r>
        <w:rPr/>
        <w:t xml:space="preserve">II.3 Géntechnológiával módosított szervezet vagy az abból előállított termék összetevőként történő használata esetén a géntechnológiával módosított szervezet nevét és az azt tartalmazó összetevő neve: </w:t>
      </w:r>
    </w:p>
    <w:p>
      <w:pPr>
        <w:pStyle w:val="Normal"/>
        <w:rPr>
          <w:b/>
          <w:bCs/>
          <w:sz w:val="10"/>
          <w:szCs w:val="10"/>
        </w:rPr>
      </w:pPr>
      <w:r>
        <w:rPr>
          <w:b/>
          <w:bCs/>
          <w:sz w:val="10"/>
          <w:szCs w:val="10"/>
        </w:rPr>
        <w:tab/>
      </w:r>
    </w:p>
    <w:p>
      <w:pPr>
        <w:pStyle w:val="Normal"/>
        <w:ind w:firstLine="284" w:right="0"/>
        <w:rPr>
          <w:bCs/>
        </w:rPr>
      </w:pPr>
      <w:r>
        <w:rPr>
          <w:bCs/>
        </w:rPr>
        <w:t xml:space="preserve">{{gmoStatement}}</w:t>
      </w:r>
    </w:p>
    <w:p>
      <w:pPr>
        <w:pStyle w:val="Normal"/>
        <w:rPr>
          <w:bCs/>
          <w:sz w:val="16"/>
          <w:szCs w:val="16"/>
        </w:rPr>
      </w:pPr>
      <w:r>
        <w:rPr>
          <w:bCs/>
          <w:sz w:val="16"/>
          <w:szCs w:val="16"/>
        </w:rPr>
      </w:r>
    </w:p>
    <w:p>
      <w:pPr>
        <w:pStyle w:val="Heading2"/>
        <w:ind w:hanging="0" w:left="142" w:right="0"/>
        <w:rPr>
          <w:sz w:val="10"/>
          <w:szCs w:val="10"/>
        </w:rPr>
      </w:pPr>
      <w:r>
        <w:rPr/>
        <w:t>II/4. az élelmiszer eltarthatóságát, biztonságát meghatározó műveletek és paramétereik felsorolása, továbbá az engedélyezett csomagológázok használata:</w:t>
      </w:r>
    </w:p>
    <w:p>
      <w:pPr>
        <w:pStyle w:val="Normal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Normal"/>
        <w:snapToGrid w:val="false"/>
        <w:ind w:left="284" w:right="0"/>
        <w:jc w:val="both"/>
        <w:rPr>
          <w:szCs w:val="20"/>
        </w:rPr>
      </w:pPr>
      <w:r>
        <w:rPr>
          <w:szCs w:val="20"/>
        </w:rPr>
        <w:t xml:space="preserve">{{processDescription}}</w:t>
      </w:r>
    </w:p>
    <w:p>
      <w:pPr>
        <w:pStyle w:val="Normal"/>
        <w:autoSpaceDE w:val="false"/>
        <w:spacing w:before="120" w:after="0"/>
        <w:rPr>
          <w:b/>
        </w:rPr>
      </w:pPr>
      <w:r>
        <w:rPr>
          <w:b/>
        </w:rPr>
        <w:t>A termék csomagolása</w:t>
      </w:r>
    </w:p>
    <w:p>
      <w:pPr>
        <w:pStyle w:val="Normal"/>
        <w:autoSpaceDE w:val="false"/>
        <w:spacing w:before="80" w:after="0"/>
        <w:ind w:hanging="2829" w:left="3538" w:right="0"/>
        <w:rPr>
          <w:sz w:val="22"/>
          <w:szCs w:val="22"/>
        </w:rPr>
      </w:pPr>
      <w:r>
        <w:rPr>
          <w:sz w:val="22"/>
          <w:szCs w:val="22"/>
        </w:rPr>
        <w:t xml:space="preserve">A csomagolás formája: {{packagingForm}}</w:t>
      </w:r>
    </w:p>
    <w:p>
      <w:pPr>
        <w:pStyle w:val="Normal"/>
        <w:autoSpaceDE w:val="false"/>
        <w:spacing w:before="80" w:after="0"/>
        <w:ind w:firstLine="709" w:right="0"/>
        <w:rPr>
          <w:sz w:val="22"/>
          <w:szCs w:val="22"/>
        </w:rPr>
      </w:pPr>
      <w:r>
        <w:rPr>
          <w:sz w:val="22"/>
          <w:szCs w:val="22"/>
        </w:rPr>
        <w:t xml:space="preserve">Csomagolás módja: {{packagingMethod}}</w:t>
      </w:r>
    </w:p>
    <w:p>
      <w:pPr>
        <w:pStyle w:val="Normal"/>
        <w:autoSpaceDE w:val="false"/>
        <w:spacing w:before="80" w:after="0"/>
        <w:ind w:firstLine="709" w:right="0"/>
        <w:rPr>
          <w:sz w:val="22"/>
          <w:szCs w:val="22"/>
        </w:rPr>
      </w:pPr>
      <w:r>
        <w:rPr>
          <w:sz w:val="22"/>
          <w:szCs w:val="22"/>
        </w:rPr>
        <w:t xml:space="preserve">Csomagolás zárása: {{packagingClosure}}</w:t>
      </w:r>
    </w:p>
    <w:p>
      <w:pPr>
        <w:pStyle w:val="Normal"/>
        <w:autoSpaceDE w:val="false"/>
        <w:spacing w:before="80" w:after="0"/>
        <w:ind w:firstLine="709" w:right="0"/>
        <w:rPr>
          <w:sz w:val="22"/>
          <w:szCs w:val="22"/>
        </w:rPr>
      </w:pPr>
      <w:r>
        <w:rPr>
          <w:sz w:val="22"/>
          <w:szCs w:val="22"/>
        </w:rPr>
        <w:t xml:space="preserve">A csomagolóanyag típusa: {{packagingMaterial}}</w:t>
      </w:r>
    </w:p>
    <w:p>
      <w:pPr>
        <w:pStyle w:val="Normal"/>
        <w:autoSpaceDE w:val="false"/>
        <w:spacing w:before="80" w:after="0"/>
        <w:ind w:firstLine="709" w:right="0"/>
        <w:rPr/>
      </w:pPr>
      <w:r>
        <w:rPr>
          <w:sz w:val="22"/>
          <w:szCs w:val="22"/>
        </w:rPr>
        <w:t xml:space="preserve">Tömeg: {{productWeight}} {{weightTolerance}}</w:t>
      </w:r>
    </w:p>
    <w:p>
      <w:pPr>
        <w:pStyle w:val="Heading1"/>
        <w:numPr>
          <w:ilvl w:val="0"/>
          <w:numId w:val="6"/>
        </w:numPr>
        <w:ind w:hanging="0" w:left="0" w:righ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 termék élelmiszer-biztonsági, minőségi jellemzői:</w:t>
      </w:r>
    </w:p>
    <w:p>
      <w:pPr>
        <w:pStyle w:val="Heading2"/>
        <w:ind w:left="568" w:right="0"/>
        <w:rPr>
          <w:rFonts w:ascii="Times New Roman" w:hAnsi="Times New Roman" w:cs="Times New Roman"/>
          <w:sz w:val="10"/>
          <w:szCs w:val="10"/>
        </w:rPr>
      </w:pPr>
      <w:r>
        <w:rPr>
          <w:rFonts w:cs="Times New Roman"/>
          <w:sz w:val="10"/>
          <w:szCs w:val="10"/>
        </w:rPr>
      </w:r>
    </w:p>
    <w:p>
      <w:pPr>
        <w:pStyle w:val="Heading2"/>
        <w:ind w:hanging="0" w:left="142" w:right="0"/>
        <w:rPr/>
      </w:pPr>
      <w:r>
        <w:rPr/>
        <w:t>III/1. Jogszabályban vagy a Magyar Élelmiszerkönyv irányelvében meghatározott minőségben előállított élelmiszer esetén a termékre vonatkozó, alkalmazott előírás megjelölését,</w:t>
      </w:r>
    </w:p>
    <w:p>
      <w:pPr>
        <w:pStyle w:val="Normal"/>
        <w:numPr>
          <w:ilvl w:val="0"/>
          <w:numId w:val="10"/>
        </w:numPr>
        <w:tabs>
          <w:tab w:val="clear" w:pos="708"/>
        </w:tabs>
        <w:ind w:hanging="360" w:left="1440" w:right="0"/>
        <w:rPr>
          <w:sz w:val="22"/>
          <w:szCs w:val="22"/>
        </w:rPr>
      </w:pPr>
      <w:r>
        <w:rPr>
          <w:sz w:val="22"/>
          <w:szCs w:val="22"/>
        </w:rPr>
        <w:t xml:space="preserve">{{regs}}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ind w:firstLine="1" w:left="142" w:right="0"/>
        <w:rPr/>
      </w:pPr>
      <w:r>
        <w:rPr/>
        <w:t>III/2 Az élelmiszer fizikai, kémiai, mikrobiológiai jellemzői, amennyiben azok nem jogszabályi előíráson vagy a Magyar Élelmiszerkönyv irányelvén alapulnak vagy azoknál szigorúbb értéknek felelnek meg.</w:t>
      </w:r>
    </w:p>
    <w:p>
      <w:pPr>
        <w:pStyle w:val="Normal"/>
        <w:rPr/>
      </w:pPr>
      <w:r>
        <w:rPr/>
      </w:r>
    </w:p>
    <w:p>
      <w:pPr>
        <w:pStyle w:val="Heading3"/>
        <w:ind w:hanging="0" w:left="0" w:right="0"/>
        <w:rPr/>
      </w:pPr>
      <w:r>
        <w:rPr/>
        <w:t xml:space="preserve">      </w:t>
      </w:r>
      <w:r>
        <w:rPr/>
        <w:t>III/2/1 Mikrobiológiai jellemzők</w:t>
      </w:r>
    </w:p>
    <w:p>
      <w:pPr>
        <w:pStyle w:val="Normal"/>
        <w:rPr/>
      </w:pPr>
      <w:r>
        <w:rPr/>
      </w:r>
    </w:p>
    <w:tbl>
      <w:tblPr>
        <w:tblpPr w:vertAnchor="text" w:horzAnchor="margin" w:tblpXSpec="right" w:leftFromText="141" w:tblpY="1"/>
        <w:tblW w:w="936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"/>
        <w:gridCol w:w="3441"/>
        <w:gridCol w:w="2647"/>
        <w:gridCol w:w="811"/>
        <w:gridCol w:w="811"/>
        <w:gridCol w:w="811"/>
        <w:gridCol w:w="809"/>
      </w:tblGrid>
      <w:tr>
        <w:trPr/>
        <w:tc>
          <w:tcPr>
            <w:tcW w:w="34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before="20" w:after="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MEGNEVEZÉS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before="20" w:after="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VIZSGÁLAT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before="20" w:after="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before="20" w:after="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before="20" w:after="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m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before="20" w:after="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M</w:t>
            </w:r>
          </w:p>
        </w:tc>
      </w:tr>
      <w:tr>
        <w:trPr>
          <w:cantSplit w:val="true"/>
        </w:trPr>
        <w:tc>
          <w:tcPr>
            <w:tcW w:w="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before="20" w:after="20"/>
              <w:rPr>
                <w:sz w:val="26"/>
                <w:szCs w:val="26"/>
              </w:rPr>
            </w:pPr>
          </w:p>
        </w:tc>
        <w:tc>
          <w:tcPr>
            <w:tcW w:w="3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before="20" w:after="20"/>
              <w:ind w:right="62"/>
              <w:rPr/>
            </w:pPr>
            <w:r>
              <w:rPr>
                <w:sz w:val="26"/>
                <w:szCs w:val="26"/>
              </w:rPr>
              <w:t xml:space="preserve">{{micro}}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before="20" w:after="20"/>
              <w:ind w:left="107" w:right="62"/>
              <w:rPr/>
            </w:pP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before="20" w:after="20"/>
              <w:ind w:left="107" w:right="62"/>
              <w:jc w:val="center"/>
              <w:rPr/>
            </w:pP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before="20" w:after="20"/>
              <w:jc w:val="center"/>
              <w:rPr/>
            </w:pP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before="20" w:after="20"/>
              <w:jc w:val="center"/>
              <w:rPr/>
            </w:pP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before="20" w:after="20"/>
              <w:jc w:val="center"/>
              <w:rPr/>
            </w:pPr>
          </w:p>
        </w:tc>
      </w:tr>
    </w:tbl>
    <w:p>
      <w:pPr>
        <w:pStyle w:val="Normal"/>
        <w:rPr/>
      </w:pPr>
      <w:r>
        <w:rPr/>
      </w:r>
    </w:p>
    <w:p>
      <w:pPr>
        <w:pStyle w:val="Heading3"/>
        <w:ind w:firstLine="360" w:right="0"/>
        <w:rPr/>
      </w:pPr>
      <w:r>
        <w:rPr/>
        <w:t>III/2/2. Kémiai élelmiszerbiztonsági jellemzők: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440" w:leader="none"/>
        </w:tabs>
        <w:ind w:hanging="360" w:left="1440" w:right="0"/>
        <w:rPr/>
      </w:pPr>
      <w:r>
        <w:rPr/>
        <w:t>Nehézfémek:</w:t>
      </w:r>
    </w:p>
    <w:p>
      <w:pPr>
        <w:pStyle w:val="Normal"/>
        <w:numPr>
          <w:ilvl w:val="2"/>
          <w:numId w:val="2"/>
        </w:numPr>
        <w:rPr/>
      </w:pPr>
      <w:r>
        <w:rPr/>
        <w:t>17/1999 EüM rend.,</w:t>
      </w:r>
    </w:p>
    <w:p>
      <w:pPr>
        <w:pStyle w:val="Normal"/>
        <w:numPr>
          <w:ilvl w:val="2"/>
          <w:numId w:val="2"/>
        </w:numPr>
        <w:rPr/>
      </w:pPr>
      <w:r>
        <w:rPr/>
        <w:t>10/2002(I.23.) FVM rendelet,</w:t>
      </w:r>
    </w:p>
    <w:p>
      <w:pPr>
        <w:pStyle w:val="Normal"/>
        <w:numPr>
          <w:ilvl w:val="2"/>
          <w:numId w:val="2"/>
        </w:numPr>
        <w:rPr/>
      </w:pPr>
      <w:r>
        <w:rPr/>
        <w:t xml:space="preserve">1881/2006. EK rendelet 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440" w:leader="none"/>
        </w:tabs>
        <w:ind w:hanging="360" w:left="1440" w:right="0"/>
        <w:rPr/>
      </w:pPr>
      <w:r>
        <w:rPr/>
        <w:t>Mikotoxinok</w:t>
      </w:r>
      <w:r>
        <w:rPr>
          <w:b/>
        </w:rPr>
        <w:t>:</w:t>
      </w:r>
    </w:p>
    <w:p>
      <w:pPr>
        <w:pStyle w:val="Normal"/>
        <w:numPr>
          <w:ilvl w:val="2"/>
          <w:numId w:val="2"/>
        </w:numPr>
        <w:rPr/>
      </w:pPr>
      <w:r>
        <w:rPr/>
        <w:t>17/1999. (VI.) EüM rendelet,</w:t>
      </w:r>
    </w:p>
    <w:p>
      <w:pPr>
        <w:pStyle w:val="Normal"/>
        <w:numPr>
          <w:ilvl w:val="2"/>
          <w:numId w:val="2"/>
        </w:numPr>
        <w:rPr/>
      </w:pPr>
      <w:r>
        <w:rPr/>
        <w:t>852/2004 EK rendelet,853/2004 EK r.</w:t>
      </w:r>
    </w:p>
    <w:p>
      <w:pPr>
        <w:pStyle w:val="Normal"/>
        <w:numPr>
          <w:ilvl w:val="2"/>
          <w:numId w:val="2"/>
        </w:numPr>
        <w:rPr/>
      </w:pPr>
      <w:r>
        <w:rPr/>
        <w:t>1881/2006 EK rendelet,4/2008 (I.12) FVM. rendelet,</w:t>
      </w:r>
    </w:p>
    <w:p>
      <w:pPr>
        <w:pStyle w:val="Normal"/>
        <w:numPr>
          <w:ilvl w:val="2"/>
          <w:numId w:val="2"/>
        </w:numPr>
        <w:rPr/>
      </w:pPr>
      <w:r>
        <w:rPr/>
        <w:t>10/2002 (i.23.) FVM rendelet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440" w:leader="none"/>
        </w:tabs>
        <w:ind w:hanging="360" w:left="1440" w:right="0"/>
        <w:rPr/>
      </w:pPr>
      <w:r>
        <w:rPr/>
        <w:t>Növényvédő- rovarirtószer maradványok:</w:t>
      </w:r>
    </w:p>
    <w:p>
      <w:pPr>
        <w:pStyle w:val="Normal"/>
        <w:numPr>
          <w:ilvl w:val="2"/>
          <w:numId w:val="2"/>
        </w:numPr>
        <w:rPr/>
      </w:pPr>
      <w:r>
        <w:rPr/>
        <w:t>17/1999. ,  EüM rendelet,</w:t>
      </w:r>
    </w:p>
    <w:p>
      <w:pPr>
        <w:pStyle w:val="Normal"/>
        <w:numPr>
          <w:ilvl w:val="2"/>
          <w:numId w:val="2"/>
        </w:numPr>
        <w:tabs>
          <w:tab w:val="clear" w:pos="708"/>
          <w:tab w:val="left" w:pos="1440" w:leader="none"/>
        </w:tabs>
        <w:rPr/>
      </w:pPr>
      <w:r>
        <w:rPr/>
        <w:t>178/2002EK r.</w:t>
      </w:r>
    </w:p>
    <w:p>
      <w:pPr>
        <w:pStyle w:val="Normal"/>
        <w:numPr>
          <w:ilvl w:val="2"/>
          <w:numId w:val="2"/>
        </w:numPr>
        <w:tabs>
          <w:tab w:val="clear" w:pos="708"/>
          <w:tab w:val="left" w:pos="1440" w:leader="none"/>
        </w:tabs>
        <w:rPr/>
      </w:pPr>
      <w:r>
        <w:rPr/>
        <w:t>34/2004(IV.26.) ESZCSM rendelet,</w:t>
      </w:r>
    </w:p>
    <w:p>
      <w:pPr>
        <w:pStyle w:val="Normal"/>
        <w:numPr>
          <w:ilvl w:val="2"/>
          <w:numId w:val="2"/>
        </w:numPr>
        <w:tabs>
          <w:tab w:val="clear" w:pos="708"/>
          <w:tab w:val="left" w:pos="1440" w:leader="none"/>
        </w:tabs>
        <w:rPr/>
      </w:pPr>
      <w:r>
        <w:rPr/>
        <w:t>396/2005EK rendelet,</w:t>
      </w:r>
    </w:p>
    <w:p>
      <w:pPr>
        <w:pStyle w:val="Normal"/>
        <w:numPr>
          <w:ilvl w:val="2"/>
          <w:numId w:val="2"/>
        </w:numPr>
        <w:tabs>
          <w:tab w:val="clear" w:pos="708"/>
          <w:tab w:val="left" w:pos="1440" w:leader="none"/>
        </w:tabs>
        <w:rPr/>
      </w:pPr>
      <w:r>
        <w:rPr/>
        <w:t>10/2002(I.23.) FVM r.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440" w:leader="none"/>
        </w:tabs>
        <w:ind w:hanging="360" w:left="1440" w:right="0"/>
        <w:rPr/>
      </w:pPr>
      <w:r>
        <w:rPr/>
        <w:t>Szerves klór és foszfát maradványok</w:t>
      </w:r>
      <w:r>
        <w:rPr>
          <w:b/>
        </w:rPr>
        <w:t>:</w:t>
      </w:r>
    </w:p>
    <w:p>
      <w:pPr>
        <w:pStyle w:val="Normal"/>
        <w:numPr>
          <w:ilvl w:val="2"/>
          <w:numId w:val="3"/>
        </w:numPr>
        <w:rPr/>
      </w:pPr>
      <w:r>
        <w:rPr/>
        <w:t>17/1999. EüM rendelet,</w:t>
      </w:r>
    </w:p>
    <w:p>
      <w:pPr>
        <w:pStyle w:val="Normal"/>
        <w:numPr>
          <w:ilvl w:val="2"/>
          <w:numId w:val="3"/>
        </w:numPr>
        <w:rPr/>
      </w:pPr>
      <w:r>
        <w:rPr/>
        <w:t>10/2002(I.23.) FVM r.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440" w:leader="none"/>
        </w:tabs>
        <w:ind w:hanging="360" w:left="1440" w:right="0"/>
        <w:rPr/>
      </w:pPr>
      <w:r>
        <w:rPr/>
        <w:t>Radioaktivítás</w:t>
      </w:r>
      <w:r>
        <w:rPr>
          <w:b/>
        </w:rPr>
        <w:t>:</w:t>
      </w:r>
    </w:p>
    <w:p>
      <w:pPr>
        <w:pStyle w:val="Normal"/>
        <w:numPr>
          <w:ilvl w:val="3"/>
          <w:numId w:val="3"/>
        </w:numPr>
        <w:tabs>
          <w:tab w:val="clear" w:pos="708"/>
          <w:tab w:val="left" w:pos="2160" w:leader="none"/>
        </w:tabs>
        <w:ind w:hanging="360" w:left="2160" w:right="0"/>
        <w:rPr/>
      </w:pPr>
      <w:r>
        <w:rPr/>
        <w:t>178/2002 EK rendelet,</w:t>
      </w:r>
    </w:p>
    <w:p>
      <w:pPr>
        <w:pStyle w:val="Normal"/>
        <w:numPr>
          <w:ilvl w:val="3"/>
          <w:numId w:val="3"/>
        </w:numPr>
        <w:tabs>
          <w:tab w:val="clear" w:pos="708"/>
          <w:tab w:val="left" w:pos="2160" w:leader="none"/>
        </w:tabs>
        <w:ind w:hanging="360" w:left="2160" w:right="0"/>
        <w:rPr/>
      </w:pPr>
      <w:r>
        <w:rPr/>
        <w:t>3954/87EURATOM rendelet,</w:t>
      </w:r>
    </w:p>
    <w:p>
      <w:pPr>
        <w:pStyle w:val="Normal"/>
        <w:numPr>
          <w:ilvl w:val="3"/>
          <w:numId w:val="3"/>
        </w:numPr>
        <w:tabs>
          <w:tab w:val="clear" w:pos="708"/>
          <w:tab w:val="left" w:pos="2160" w:leader="none"/>
        </w:tabs>
        <w:ind w:hanging="360" w:left="2160" w:right="0"/>
        <w:rPr/>
      </w:pPr>
      <w:r>
        <w:rPr/>
        <w:t>944/89 EK rendelet,</w:t>
      </w:r>
    </w:p>
    <w:p>
      <w:pPr>
        <w:pStyle w:val="Normal"/>
        <w:numPr>
          <w:ilvl w:val="3"/>
          <w:numId w:val="3"/>
        </w:numPr>
        <w:tabs>
          <w:tab w:val="clear" w:pos="708"/>
          <w:tab w:val="left" w:pos="2160" w:leader="none"/>
        </w:tabs>
        <w:ind w:hanging="360" w:left="2160" w:right="0"/>
        <w:rPr/>
      </w:pPr>
      <w:r>
        <w:rPr/>
        <w:t>10/2002(I.23.) FVM rendelet.</w:t>
      </w:r>
    </w:p>
    <w:p>
      <w:pPr>
        <w:pStyle w:val="Normal"/>
        <w:ind w:left="2160" w:right="0"/>
        <w:rPr/>
      </w:pPr>
      <w:r>
        <w:rPr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440" w:leader="none"/>
        </w:tabs>
        <w:ind w:hanging="360" w:left="1440" w:right="0"/>
        <w:rPr/>
      </w:pPr>
      <w:r>
        <w:rPr/>
        <w:t>Jellemző élelmiszer allergének</w:t>
      </w:r>
      <w:r>
        <w:rPr>
          <w:b/>
        </w:rPr>
        <w:t>:</w:t>
      </w:r>
    </w:p>
    <w:tbl>
      <w:tblPr>
        <w:tblpPr w:vertAnchor="text" w:horzAnchor="page" w:leftFromText="141" w:rightFromText="141" w:tblpX="922" w:tblpY="175"/>
        <w:tblW w:w="10450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133"/>
        <w:gridCol w:w="1317"/>
      </w:tblGrid>
      <w:tr>
        <w:trPr>
          <w:trHeight w:val="221" w:hRule="atLeast"/>
          <w:cantSplit w:val="true"/>
        </w:trPr>
        <w:tc>
          <w:tcPr>
            <w:tcW w:w="9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2"/>
              <w:ind w:hanging="357" w:left="414" w:right="0"/>
              <w:rPr/>
            </w:pPr>
            <w:r>
              <w:rPr/>
              <w:t>Megnevezés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right="285"/>
              <w:jc w:val="center"/>
              <w:rPr>
                <w:b/>
              </w:rPr>
            </w:pPr>
            <w:r>
              <w:rPr>
                <w:b/>
              </w:rPr>
              <w:t>Jelenlét</w:t>
            </w:r>
          </w:p>
        </w:tc>
      </w:tr>
      <w:tr>
        <w:trPr>
          <w:trHeight w:val="284" w:hRule="atLeast"/>
          <w:cantSplit w:val="true"/>
        </w:trPr>
        <w:tc>
          <w:tcPr>
            <w:tcW w:w="9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Glutént tartalmazó gabona (búza, rozs</w:t>
            </w:r>
            <w:r>
              <w:rPr>
                <w:i/>
                <w:iCs/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árpa, zab</w:t>
            </w:r>
            <w:r>
              <w:rPr>
                <w:i/>
                <w:iCs/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tönköly</w:t>
            </w:r>
            <w:r>
              <w:rPr>
                <w:i/>
                <w:iCs/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kamut búza)</w:t>
            </w:r>
            <w:r>
              <w:rPr>
                <w:i/>
                <w:iCs/>
                <w:sz w:val="22"/>
                <w:szCs w:val="22"/>
              </w:rPr>
              <w:t>,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hanging="360" w:left="720" w:right="28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{{al_gluten}}</w:t>
            </w:r>
          </w:p>
        </w:tc>
      </w:tr>
      <w:tr>
        <w:trPr>
          <w:trHeight w:val="284" w:hRule="atLeast"/>
          <w:cantSplit w:val="true"/>
        </w:trPr>
        <w:tc>
          <w:tcPr>
            <w:tcW w:w="9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Rákfélék és azokból készült termékek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hanging="360" w:left="720" w:right="28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{{al_crustaceans}}</w:t>
            </w:r>
          </w:p>
        </w:tc>
      </w:tr>
      <w:tr>
        <w:trPr>
          <w:trHeight w:val="284" w:hRule="atLeast"/>
          <w:cantSplit w:val="true"/>
        </w:trPr>
        <w:tc>
          <w:tcPr>
            <w:tcW w:w="9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Tojás és abból készült termékek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hanging="360" w:left="720" w:right="28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{{al_egg}}</w:t>
            </w:r>
          </w:p>
        </w:tc>
      </w:tr>
      <w:tr>
        <w:trPr>
          <w:trHeight w:val="284" w:hRule="atLeast"/>
          <w:cantSplit w:val="true"/>
        </w:trPr>
        <w:tc>
          <w:tcPr>
            <w:tcW w:w="9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Halak és azokból készült termékek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hanging="360" w:left="720" w:right="28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{{al_fish}}</w:t>
            </w:r>
          </w:p>
        </w:tc>
      </w:tr>
      <w:tr>
        <w:trPr>
          <w:trHeight w:val="284" w:hRule="atLeast"/>
          <w:cantSplit w:val="true"/>
        </w:trPr>
        <w:tc>
          <w:tcPr>
            <w:tcW w:w="9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rPr>
                <w:sz w:val="22"/>
                <w:szCs w:val="22"/>
                <w:lang w:val="hu-HU"/>
              </w:rPr>
            </w:pPr>
            <w:r>
              <w:rPr>
                <w:sz w:val="22"/>
                <w:szCs w:val="22"/>
                <w:lang w:val="hu-HU"/>
              </w:rPr>
              <w:t>Földimogyoró és abból készült termékek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hanging="360" w:left="720" w:right="28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{{al_peanut}}</w:t>
            </w:r>
          </w:p>
        </w:tc>
      </w:tr>
      <w:tr>
        <w:trPr>
          <w:trHeight w:val="284" w:hRule="atLeast"/>
          <w:cantSplit w:val="true"/>
        </w:trPr>
        <w:tc>
          <w:tcPr>
            <w:tcW w:w="9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Szójabab és abból készült termékek 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hanging="360" w:left="720" w:right="28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{{al_soy}}</w:t>
            </w:r>
          </w:p>
        </w:tc>
      </w:tr>
      <w:tr>
        <w:trPr>
          <w:trHeight w:val="284" w:hRule="atLeast"/>
          <w:cantSplit w:val="true"/>
        </w:trPr>
        <w:tc>
          <w:tcPr>
            <w:tcW w:w="9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Tej és abból készült termékek (laktóz) 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hanging="360" w:left="720" w:right="28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{{al_milk}}</w:t>
            </w:r>
          </w:p>
        </w:tc>
      </w:tr>
      <w:tr>
        <w:trPr>
          <w:trHeight w:val="284" w:hRule="atLeast"/>
          <w:cantSplit w:val="true"/>
        </w:trPr>
        <w:tc>
          <w:tcPr>
            <w:tcW w:w="9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Diófélék: mandula (Amygdalus communis L.)</w:t>
            </w:r>
            <w:r>
              <w:rPr>
                <w:i/>
                <w:iCs/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mogyoró (Corylus avellana)</w:t>
            </w:r>
            <w:r>
              <w:rPr>
                <w:i/>
                <w:iCs/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dió</w:t>
            </w:r>
            <w:r>
              <w:rPr>
                <w:color w:val="193802"/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pekándió (Carya illinoiesis (Wangenh.) K. Koch) , brazil dió (Bertholletia excelsa), pisztácia (Pistacia vera)</w:t>
            </w:r>
            <w:r>
              <w:rPr>
                <w:i/>
                <w:iCs/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makadámia és queenslandi dió (Macadamia ternifolia)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hanging="360" w:left="720" w:right="28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{{al_nuts}}</w:t>
            </w:r>
          </w:p>
        </w:tc>
      </w:tr>
      <w:tr>
        <w:trPr>
          <w:trHeight w:val="284" w:hRule="atLeast"/>
          <w:cantSplit w:val="true"/>
        </w:trPr>
        <w:tc>
          <w:tcPr>
            <w:tcW w:w="9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Zeller és abból készült termékek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hanging="360" w:left="720" w:right="28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{{al_celery}}</w:t>
            </w:r>
          </w:p>
        </w:tc>
      </w:tr>
      <w:tr>
        <w:trPr>
          <w:trHeight w:val="284" w:hRule="atLeast"/>
          <w:cantSplit w:val="true"/>
        </w:trPr>
        <w:tc>
          <w:tcPr>
            <w:tcW w:w="9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Mustár abból készült termékek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hanging="360" w:left="720" w:right="28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{{al_mustard}}</w:t>
            </w:r>
          </w:p>
        </w:tc>
      </w:tr>
      <w:tr>
        <w:trPr>
          <w:trHeight w:val="284" w:hRule="atLeast"/>
          <w:cantSplit w:val="true"/>
        </w:trPr>
        <w:tc>
          <w:tcPr>
            <w:tcW w:w="9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Szezámmag és abból készült termékek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hanging="360" w:left="720" w:right="28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{{al_sesame}}</w:t>
            </w:r>
          </w:p>
        </w:tc>
      </w:tr>
      <w:tr>
        <w:trPr>
          <w:trHeight w:val="284" w:hRule="atLeast"/>
          <w:cantSplit w:val="true"/>
        </w:trPr>
        <w:tc>
          <w:tcPr>
            <w:tcW w:w="9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Kén-dioxid és SO2- ben kifejezett szulfitok 10 mg/kg, illetve 10 mg/liter koncentrációt meghaladó mennyiségben</w:t>
              <w:tab/>
              <w:t>-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hanging="360" w:left="720" w:right="28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{{al_sulphites}}</w:t>
            </w:r>
          </w:p>
        </w:tc>
      </w:tr>
      <w:tr>
        <w:trPr>
          <w:trHeight w:val="284" w:hRule="atLeast"/>
          <w:cantSplit w:val="true"/>
        </w:trPr>
        <w:tc>
          <w:tcPr>
            <w:tcW w:w="9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Csillagfürt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hanging="360" w:left="720" w:right="28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{{al_lupin}}</w:t>
            </w:r>
          </w:p>
        </w:tc>
      </w:tr>
      <w:tr>
        <w:trPr>
          <w:trHeight w:val="284" w:hRule="atLeast"/>
          <w:cantSplit w:val="true"/>
        </w:trPr>
        <w:tc>
          <w:tcPr>
            <w:tcW w:w="9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Puhatestűek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hanging="360" w:left="720" w:right="28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{{al_molluscs}}</w:t>
            </w:r>
          </w:p>
        </w:tc>
      </w:tr>
    </w:tbl>
    <w:p>
      <w:pPr>
        <w:pStyle w:val="Normal"/>
        <w:jc w:val="both"/>
        <w:rPr>
          <w:sz w:val="16"/>
          <w:szCs w:val="16"/>
        </w:rPr>
      </w:pPr>
      <w:r>
        <w:rPr>
          <w:sz w:val="16"/>
          <w:szCs w:val="16"/>
        </w:rPr>
        <w:t>Jelenlét: +,  mentesség: - , lehetséges előfordulás: ?</w:t>
      </w:r>
    </w:p>
    <w:p>
      <w:pPr>
        <w:pStyle w:val="BodyText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BodyText"/>
        <w:jc w:val="both"/>
        <w:rPr/>
      </w:pPr>
      <w:r>
        <w:rPr/>
      </w:r>
    </w:p>
    <w:p>
      <w:pPr>
        <w:pStyle w:val="Heading3"/>
        <w:ind w:hanging="12" w:left="142" w:right="0"/>
        <w:rPr/>
      </w:pPr>
      <w:r>
        <w:rPr/>
        <w:t>III/2/3. Fizikai, összetételi jellemzők: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autoSpaceDE w:val="false"/>
        <w:rPr/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/>
        <w:t>Fizikai-kémiai jellemzők:</w:t>
      </w:r>
    </w:p>
    <w:p>
      <w:pPr>
        <w:pStyle w:val="Normal"/>
        <w:numPr>
          <w:ilvl w:val="0"/>
          <w:numId w:val="5"/>
        </w:numPr>
        <w:autoSpaceDE w:val="false"/>
        <w:rPr/>
      </w:pPr>
      <w:r>
        <w:rPr/>
        <w:t xml:space="preserve">{{physical}}</w:t>
      </w:r>
    </w:p>
    <w:p>
      <w:pPr>
        <w:pStyle w:val="Normal"/>
        <w:autoSpaceDE w:val="false"/>
        <w:rPr/>
      </w:pPr>
      <w:r>
        <w:rPr/>
      </w:r>
    </w:p>
    <w:p>
      <w:pPr>
        <w:pStyle w:val="Normal"/>
        <w:autoSpaceDE w:val="false"/>
        <w:spacing w:before="120" w:after="0"/>
        <w:rPr>
          <w:b/>
        </w:rPr>
      </w:pPr>
      <w:r>
        <w:rPr>
          <w:b/>
        </w:rPr>
      </w:r>
    </w:p>
    <w:p>
      <w:pPr>
        <w:pStyle w:val="Heading2"/>
        <w:numPr>
          <w:ilvl w:val="0"/>
          <w:numId w:val="6"/>
        </w:numPr>
        <w:ind w:hanging="11" w:left="0" w:right="0"/>
        <w:rPr/>
      </w:pPr>
      <w:r>
        <w:rPr/>
        <w:t>Az élelmiszer érzékszervi jellemzői</w:t>
      </w:r>
    </w:p>
    <w:p>
      <w:pPr>
        <w:pStyle w:val="Normal"/>
        <w:ind w:left="1855" w:right="0"/>
        <w:rPr/>
      </w:pPr>
      <w:r>
        <w:rPr/>
      </w:r>
    </w:p>
    <w:tbl>
      <w:tblPr>
        <w:tblW w:w="10192" w:type="dxa"/>
        <w:jc w:val="left"/>
        <w:tblInd w:w="-45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4819"/>
        <w:gridCol w:w="4380"/>
      </w:tblGrid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before="120" w:after="0"/>
              <w:rPr>
                <w:i/>
                <w:i/>
                <w:iCs/>
              </w:rPr>
            </w:pPr>
            <w:r>
              <w:rPr>
                <w:i/>
                <w:iCs/>
              </w:rPr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lWeb"/>
              <w:spacing w:before="28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Kifogástalan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lWeb"/>
              <w:spacing w:before="28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 forgalomba hozatalt még nem kizáró, de a kifogástalan tulajdonságtól eltérő 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Alak: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lWeb"/>
              <w:spacing w:before="28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{{sensory}}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lWeb"/>
              <w:spacing w:before="280" w:after="0"/>
              <w:rPr>
                <w:sz w:val="22"/>
                <w:szCs w:val="22"/>
              </w:rPr>
            </w:pPr>
          </w:p>
        </w:tc>
      </w:tr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20" w:after="0"/>
              <w:rPr>
                <w:i/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>Külső: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lWeb"/>
              <w:spacing w:before="280" w:after="0"/>
              <w:rPr>
                <w:sz w:val="22"/>
                <w:szCs w:val="22"/>
              </w:rPr>
            </w:pP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lWeb"/>
              <w:spacing w:before="280" w:after="0"/>
              <w:rPr>
                <w:sz w:val="22"/>
                <w:szCs w:val="22"/>
              </w:rPr>
            </w:pPr>
          </w:p>
        </w:tc>
      </w:tr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20" w:after="0"/>
              <w:rPr>
                <w:i/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>Szín: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lWeb"/>
              <w:spacing w:before="280" w:after="0"/>
              <w:rPr/>
            </w:pP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lWeb"/>
              <w:spacing w:before="280" w:after="0"/>
              <w:rPr>
                <w:sz w:val="22"/>
                <w:szCs w:val="22"/>
              </w:rPr>
            </w:pPr>
          </w:p>
        </w:tc>
      </w:tr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20" w:after="0"/>
              <w:rPr>
                <w:i/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>Szag: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lWeb"/>
              <w:spacing w:before="280" w:after="0"/>
              <w:rPr/>
            </w:pP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lWeb"/>
              <w:spacing w:before="280" w:after="0"/>
              <w:rPr>
                <w:sz w:val="22"/>
                <w:szCs w:val="22"/>
              </w:rPr>
            </w:pPr>
          </w:p>
        </w:tc>
      </w:tr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2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Íz: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lWeb"/>
              <w:spacing w:before="280" w:after="0"/>
              <w:rPr>
                <w:sz w:val="22"/>
                <w:szCs w:val="22"/>
              </w:rPr>
            </w:pP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lWeb"/>
              <w:spacing w:before="280" w:after="0"/>
              <w:rPr>
                <w:sz w:val="22"/>
                <w:szCs w:val="22"/>
              </w:rPr>
            </w:pPr>
          </w:p>
        </w:tc>
      </w:tr>
    </w:tbl>
    <w:p>
      <w:pPr>
        <w:pStyle w:val="Normal"/>
        <w:autoSpaceDE w:val="false"/>
        <w:spacing w:before="120" w:after="0"/>
        <w:ind w:hanging="540" w:left="540" w:right="0"/>
        <w:rPr/>
      </w:pPr>
      <w:r>
        <w:rPr/>
      </w:r>
    </w:p>
    <w:p>
      <w:pPr>
        <w:pStyle w:val="Heading2"/>
        <w:numPr>
          <w:ilvl w:val="0"/>
          <w:numId w:val="6"/>
        </w:numPr>
        <w:ind w:hanging="11" w:left="0" w:right="0"/>
        <w:rPr/>
      </w:pPr>
      <w:r>
        <w:rPr/>
        <w:t>Az élelmiszer átlagos tápértéke 100g termékben</w:t>
      </w:r>
    </w:p>
    <w:p>
      <w:pPr>
        <w:pStyle w:val="Normal"/>
        <w:rPr/>
      </w:pPr>
      <w:r>
        <w:rPr/>
      </w:r>
    </w:p>
    <w:tbl>
      <w:tblPr>
        <w:tblW w:w="5072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3465"/>
        <w:gridCol w:w="1607"/>
      </w:tblGrid>
      <w:tr>
        <w:trPr>
          <w:trHeight w:val="300" w:hRule="atLeast"/>
        </w:trPr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Megnevezés</w:t>
            </w:r>
          </w:p>
        </w:tc>
        <w:tc>
          <w:tcPr>
            <w:tcW w:w="16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m/m% (100 g)</w:t>
            </w:r>
          </w:p>
        </w:tc>
      </w:tr>
      <w:tr>
        <w:trPr>
          <w:trHeight w:val="851" w:hRule="atLeast"/>
        </w:trPr>
        <w:tc>
          <w:tcPr>
            <w:tcW w:w="3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right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cs="Tahoma" w:ascii="Tahoma" w:hAnsi="Tahoma"/>
                <w:b/>
                <w:bCs/>
                <w:sz w:val="22"/>
                <w:szCs w:val="22"/>
              </w:rPr>
              <w:t xml:space="preserve">Energia tartalom </w:t>
            </w:r>
          </w:p>
          <w:p>
            <w:pPr>
              <w:pStyle w:val="Normal"/>
              <w:jc w:val="right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cs="Tahoma" w:ascii="Tahoma" w:hAnsi="Tahoma"/>
                <w:b/>
                <w:bCs/>
                <w:sz w:val="22"/>
                <w:szCs w:val="22"/>
              </w:rPr>
              <w:t xml:space="preserve">kJ </w:t>
            </w:r>
          </w:p>
          <w:p>
            <w:pPr>
              <w:pStyle w:val="Normal"/>
              <w:jc w:val="right"/>
              <w:rPr>
                <w:rFonts w:ascii="Tahoma" w:hAnsi="Tahoma" w:cs="Tahoma"/>
                <w:sz w:val="22"/>
                <w:szCs w:val="22"/>
                <w:lang w:val="en-GB"/>
              </w:rPr>
            </w:pPr>
            <w:r>
              <w:rPr>
                <w:rFonts w:cs="Tahoma" w:ascii="Tahoma" w:hAnsi="Tahoma"/>
                <w:b/>
                <w:bCs/>
                <w:sz w:val="22"/>
                <w:szCs w:val="22"/>
              </w:rPr>
              <w:t>kcal</w:t>
            </w:r>
          </w:p>
        </w:tc>
        <w:tc>
          <w:tcPr>
            <w:tcW w:w="16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2"/>
              <w:snapToGrid w:val="false"/>
              <w:ind w:hanging="0" w:right="0"/>
              <w:jc w:val="left"/>
              <w:rPr>
                <w:rFonts w:ascii="Tahoma" w:hAnsi="Tahoma" w:cs="Tahoma"/>
                <w:b w:val="false"/>
                <w:sz w:val="22"/>
                <w:szCs w:val="22"/>
                <w:lang w:val="en-GB"/>
              </w:rPr>
            </w:pPr>
            <w:r>
              <w:t xml:space="preserve">{{n_energy}}</w:t>
            </w:r>
          </w:p>
        </w:tc>
      </w:tr>
      <w:tr>
        <w:trPr>
          <w:trHeight w:val="315" w:hRule="atLeast"/>
        </w:trPr>
        <w:tc>
          <w:tcPr>
            <w:tcW w:w="3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right"/>
              <w:rPr>
                <w:rFonts w:ascii="Tahoma" w:hAnsi="Tahoma" w:cs="Tahoma"/>
                <w:bCs/>
                <w:sz w:val="22"/>
                <w:szCs w:val="22"/>
              </w:rPr>
            </w:pPr>
            <w:r>
              <w:rPr>
                <w:rFonts w:cs="Tahoma" w:ascii="Tahoma" w:hAnsi="Tahoma"/>
                <w:b/>
                <w:iCs/>
                <w:sz w:val="22"/>
                <w:szCs w:val="22"/>
              </w:rPr>
              <w:t xml:space="preserve">Zsír </w:t>
            </w:r>
            <w:r>
              <w:rPr>
                <w:rFonts w:cs="Tahoma" w:ascii="Tahoma" w:hAnsi="Tahoma"/>
                <w:b/>
                <w:sz w:val="22"/>
                <w:szCs w:val="22"/>
              </w:rPr>
              <w:t>(g)</w:t>
            </w:r>
          </w:p>
          <w:p>
            <w:pPr>
              <w:pStyle w:val="Normal"/>
              <w:jc w:val="right"/>
              <w:rPr>
                <w:rFonts w:ascii="Tahoma" w:hAnsi="Tahoma" w:cs="Tahoma"/>
                <w:b/>
                <w:iCs/>
                <w:sz w:val="22"/>
                <w:szCs w:val="22"/>
              </w:rPr>
            </w:pPr>
            <w:r>
              <w:rPr>
                <w:rFonts w:cs="Tahoma" w:ascii="Tahoma" w:hAnsi="Tahoma"/>
                <w:b/>
                <w:iCs/>
                <w:sz w:val="22"/>
                <w:szCs w:val="22"/>
              </w:rPr>
              <w:t>amelyből telített zsírsavak (g)</w:t>
            </w:r>
          </w:p>
        </w:tc>
        <w:tc>
          <w:tcPr>
            <w:tcW w:w="16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2"/>
              <w:ind w:hanging="0" w:right="0"/>
              <w:jc w:val="left"/>
              <w:rPr>
                <w:rFonts w:ascii="Tahoma" w:hAnsi="Tahoma" w:cs="Tahoma"/>
                <w:b w:val="false"/>
                <w:sz w:val="22"/>
                <w:szCs w:val="22"/>
              </w:rPr>
            </w:pPr>
            <w:r>
              <w:rPr>
                <w:rFonts w:cs="Tahoma" w:ascii="Tahoma" w:hAnsi="Tahoma"/>
                <w:b w:val="false"/>
                <w:sz w:val="22"/>
                <w:szCs w:val="22"/>
              </w:rPr>
              <w:t xml:space="preserve">{{n_fat_sat}}</w:t>
            </w:r>
          </w:p>
        </w:tc>
      </w:tr>
      <w:tr>
        <w:trPr>
          <w:trHeight w:val="315" w:hRule="atLeast"/>
        </w:trPr>
        <w:tc>
          <w:tcPr>
            <w:tcW w:w="3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right"/>
              <w:rPr>
                <w:rFonts w:ascii="Tahoma" w:hAnsi="Tahoma" w:cs="Tahoma"/>
                <w:b/>
                <w:bCs/>
                <w:iCs/>
                <w:sz w:val="22"/>
                <w:szCs w:val="22"/>
              </w:rPr>
            </w:pPr>
            <w:r>
              <w:rPr>
                <w:rFonts w:cs="Tahoma" w:ascii="Tahoma" w:hAnsi="Tahoma"/>
                <w:b/>
                <w:sz w:val="22"/>
                <w:szCs w:val="22"/>
              </w:rPr>
              <w:t>Szénhidrát (g)</w:t>
            </w:r>
          </w:p>
          <w:p>
            <w:pPr>
              <w:pStyle w:val="Normal"/>
              <w:jc w:val="righ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cs="Tahoma" w:ascii="Tahoma" w:hAnsi="Tahoma"/>
                <w:b/>
                <w:bCs/>
                <w:iCs/>
                <w:sz w:val="22"/>
                <w:szCs w:val="22"/>
              </w:rPr>
              <w:t>amelyből cukrok (g)</w:t>
            </w:r>
          </w:p>
        </w:tc>
        <w:tc>
          <w:tcPr>
            <w:tcW w:w="16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2"/>
              <w:ind w:hanging="0" w:right="0"/>
              <w:jc w:val="left"/>
              <w:rPr>
                <w:rFonts w:ascii="Tahoma" w:hAnsi="Tahoma" w:cs="Tahoma"/>
                <w:b w:val="false"/>
                <w:sz w:val="22"/>
                <w:szCs w:val="22"/>
              </w:rPr>
            </w:pPr>
            <w:r>
              <w:rPr>
                <w:rFonts w:cs="Tahoma" w:ascii="Tahoma" w:hAnsi="Tahoma"/>
                <w:b w:val="false"/>
                <w:sz w:val="22"/>
                <w:szCs w:val="22"/>
              </w:rPr>
              <w:t xml:space="preserve">{{n_carb_sug}}</w:t>
            </w:r>
          </w:p>
        </w:tc>
      </w:tr>
      <w:tr>
        <w:trPr>
          <w:trHeight w:val="315" w:hRule="atLeast"/>
        </w:trPr>
        <w:tc>
          <w:tcPr>
            <w:tcW w:w="3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right"/>
              <w:rPr>
                <w:rFonts w:ascii="Tahoma" w:hAnsi="Tahoma" w:cs="Tahoma"/>
                <w:b/>
                <w:iCs/>
                <w:sz w:val="22"/>
                <w:szCs w:val="22"/>
              </w:rPr>
            </w:pPr>
            <w:r>
              <w:rPr>
                <w:rFonts w:cs="Tahoma" w:ascii="Tahoma" w:hAnsi="Tahoma"/>
                <w:b/>
                <w:iCs/>
                <w:sz w:val="22"/>
                <w:szCs w:val="22"/>
              </w:rPr>
              <w:t>TFA az összes zsírban</w:t>
            </w:r>
          </w:p>
        </w:tc>
        <w:tc>
          <w:tcPr>
            <w:tcW w:w="16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2"/>
              <w:ind w:hanging="0" w:right="0"/>
              <w:jc w:val="left"/>
              <w:rPr>
                <w:rFonts w:ascii="Tahoma" w:hAnsi="Tahoma" w:cs="Tahoma"/>
                <w:b w:val="false"/>
                <w:sz w:val="22"/>
                <w:szCs w:val="22"/>
              </w:rPr>
            </w:pPr>
            <w:r>
              <w:rPr>
                <w:rFonts w:cs="Tahoma" w:ascii="Tahoma" w:hAnsi="Tahoma"/>
                <w:b w:val="false"/>
                <w:sz w:val="22"/>
                <w:szCs w:val="22"/>
              </w:rPr>
              <w:t xml:space="preserve">{{n_tfa}}</w:t>
            </w:r>
          </w:p>
        </w:tc>
      </w:tr>
      <w:tr>
        <w:trPr>
          <w:trHeight w:val="315" w:hRule="atLeast"/>
        </w:trPr>
        <w:tc>
          <w:tcPr>
            <w:tcW w:w="3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2"/>
              <w:jc w:val="righ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cs="Tahoma" w:ascii="Tahoma" w:hAnsi="Tahoma"/>
                <w:sz w:val="22"/>
                <w:szCs w:val="22"/>
              </w:rPr>
              <w:t>Fehérje (g)</w:t>
            </w:r>
          </w:p>
        </w:tc>
        <w:tc>
          <w:tcPr>
            <w:tcW w:w="16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2"/>
              <w:ind w:hanging="0" w:right="0"/>
              <w:jc w:val="left"/>
              <w:rPr>
                <w:rFonts w:ascii="Tahoma" w:hAnsi="Tahoma" w:cs="Tahoma"/>
                <w:b w:val="false"/>
                <w:sz w:val="22"/>
                <w:szCs w:val="22"/>
              </w:rPr>
            </w:pPr>
            <w:r>
              <w:rPr>
                <w:rFonts w:cs="Tahoma" w:ascii="Tahoma" w:hAnsi="Tahoma"/>
                <w:b w:val="false"/>
                <w:sz w:val="22"/>
                <w:szCs w:val="22"/>
              </w:rPr>
              <w:t xml:space="preserve">{{n_protein}}</w:t>
            </w:r>
          </w:p>
        </w:tc>
      </w:tr>
      <w:tr>
        <w:trPr>
          <w:trHeight w:val="315" w:hRule="atLeast"/>
        </w:trPr>
        <w:tc>
          <w:tcPr>
            <w:tcW w:w="3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right"/>
              <w:rPr>
                <w:rFonts w:ascii="Tahoma" w:hAnsi="Tahoma" w:cs="Tahoma"/>
                <w:b/>
                <w:iCs/>
                <w:sz w:val="22"/>
                <w:szCs w:val="22"/>
                <w:lang w:val="en-GB"/>
              </w:rPr>
            </w:pPr>
            <w:r>
              <w:rPr>
                <w:rFonts w:cs="Tahoma" w:ascii="Tahoma" w:hAnsi="Tahoma"/>
                <w:b/>
                <w:iCs/>
                <w:sz w:val="22"/>
                <w:szCs w:val="22"/>
                <w:lang w:val="en-GB"/>
              </w:rPr>
              <w:t>Élelmi rost (g)</w:t>
            </w:r>
          </w:p>
        </w:tc>
        <w:tc>
          <w:tcPr>
            <w:tcW w:w="16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2"/>
              <w:ind w:hanging="0" w:right="0"/>
              <w:jc w:val="left"/>
              <w:rPr>
                <w:rFonts w:ascii="Tahoma" w:hAnsi="Tahoma" w:cs="Tahoma"/>
                <w:b w:val="false"/>
                <w:sz w:val="22"/>
                <w:szCs w:val="22"/>
              </w:rPr>
            </w:pPr>
            <w:r>
              <w:rPr>
                <w:rFonts w:cs="Tahoma" w:ascii="Tahoma" w:hAnsi="Tahoma"/>
                <w:b w:val="false"/>
                <w:sz w:val="22"/>
                <w:szCs w:val="22"/>
              </w:rPr>
              <w:t xml:space="preserve">{{n_fibre}}</w:t>
            </w:r>
          </w:p>
        </w:tc>
      </w:tr>
      <w:tr>
        <w:trPr>
          <w:trHeight w:val="315" w:hRule="atLeast"/>
        </w:trPr>
        <w:tc>
          <w:tcPr>
            <w:tcW w:w="3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right"/>
              <w:rPr>
                <w:rFonts w:ascii="Tahoma" w:hAnsi="Tahoma" w:cs="Tahoma"/>
                <w:sz w:val="22"/>
                <w:szCs w:val="22"/>
                <w:lang w:val="en-GB"/>
              </w:rPr>
            </w:pPr>
            <w:r>
              <w:rPr>
                <w:rFonts w:cs="Tahoma" w:ascii="Tahoma" w:hAnsi="Tahoma"/>
                <w:b/>
                <w:iCs/>
                <w:sz w:val="22"/>
                <w:szCs w:val="22"/>
                <w:lang w:val="en-GB"/>
              </w:rPr>
              <w:t xml:space="preserve">Só (g) </w:t>
            </w:r>
          </w:p>
        </w:tc>
        <w:tc>
          <w:tcPr>
            <w:tcW w:w="16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2"/>
              <w:ind w:hanging="0" w:right="0"/>
              <w:jc w:val="left"/>
              <w:rPr>
                <w:rFonts w:ascii="Tahoma" w:hAnsi="Tahoma" w:cs="Tahoma"/>
                <w:b w:val="false"/>
                <w:sz w:val="22"/>
                <w:szCs w:val="22"/>
              </w:rPr>
            </w:pPr>
            <w:r>
              <w:rPr>
                <w:rFonts w:cs="Tahoma" w:ascii="Tahoma" w:hAnsi="Tahoma"/>
                <w:b w:val="false"/>
                <w:sz w:val="22"/>
                <w:szCs w:val="22"/>
              </w:rPr>
              <w:t xml:space="preserve">{{n_salt}}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ind w:hanging="0" w:right="0"/>
        <w:rPr/>
      </w:pPr>
      <w:r>
        <w:rPr>
          <w:b w:val="false"/>
        </w:rPr>
        <w:t>A tápérték adatok meghatározásának módszere: A</w:t>
      </w:r>
      <w:r>
        <w:rPr>
          <w:b w:val="false"/>
          <w:iCs/>
        </w:rPr>
        <w:t>z MÉ 1-1-90/496 előírás szerint, az összetételből számolva.</w:t>
      </w:r>
    </w:p>
    <w:p>
      <w:pPr>
        <w:pStyle w:val="Heading1"/>
        <w:numPr>
          <w:ilvl w:val="0"/>
          <w:numId w:val="8"/>
        </w:numPr>
        <w:ind w:hanging="10" w:left="0" w:righ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Minőség megőrzési / fogyaszthatósági időtartam</w:t>
      </w:r>
    </w:p>
    <w:p>
      <w:pPr>
        <w:pStyle w:val="BodyText"/>
        <w:ind w:firstLine="28" w:left="709" w:right="0"/>
        <w:rPr/>
      </w:pPr>
      <w:r>
        <w:rPr/>
        <w:t xml:space="preserve">{{shelfLife}}</w:t>
      </w:r>
    </w:p>
    <w:p>
      <w:pPr>
        <w:pStyle w:val="Heading1"/>
        <w:numPr>
          <w:ilvl w:val="0"/>
          <w:numId w:val="8"/>
        </w:numPr>
        <w:ind w:hanging="10" w:left="0" w:righ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Tárolási feltételek</w:t>
      </w:r>
    </w:p>
    <w:p>
      <w:pPr>
        <w:pStyle w:val="Normal"/>
        <w:autoSpaceDE w:val="false"/>
        <w:spacing w:before="120" w:after="0"/>
        <w:ind w:left="709" w:right="0"/>
        <w:rPr/>
      </w:pPr>
      <w:r>
        <w:rPr/>
        <w:t xml:space="preserve">{{storage}}</w:t>
      </w:r>
    </w:p>
    <w:p>
      <w:pPr>
        <w:pStyle w:val="Heading1"/>
        <w:numPr>
          <w:ilvl w:val="0"/>
          <w:numId w:val="8"/>
        </w:numPr>
        <w:ind w:hanging="10" w:left="0" w:righ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Az élelmiszer jelölése</w:t>
      </w:r>
    </w:p>
    <w:p>
      <w:pPr>
        <w:pStyle w:val="Normal"/>
        <w:spacing w:before="120" w:after="0"/>
        <w:ind w:left="945" w:right="0"/>
        <w:rPr/>
      </w:pPr>
      <w:r>
        <w:rPr/>
        <w:t xml:space="preserve">{{labelling}}</w:t>
      </w:r>
    </w:p>
    <w:p>
      <w:pPr>
        <w:pStyle w:val="Normal"/>
        <w:ind w:left="540" w:right="0"/>
        <w:rPr/>
      </w:pPr>
      <w:r>
        <w:rPr/>
      </w:r>
    </w:p>
    <w:p>
      <w:pPr>
        <w:pStyle w:val="Normal"/>
        <w:autoSpaceDE w:val="false"/>
        <w:spacing w:before="120" w:after="0"/>
        <w:rPr>
          <w:b/>
          <w:sz w:val="10"/>
          <w:szCs w:val="10"/>
        </w:rPr>
      </w:pPr>
      <w:r>
        <w:rPr>
          <w:b/>
          <w:sz w:val="10"/>
          <w:szCs w:val="10"/>
        </w:rPr>
      </w:r>
    </w:p>
    <w:tbl>
      <w:tblPr>
        <w:tblW w:w="5200" w:type="pct"/>
        <w:jc w:val="center"/>
        <w:tblInd w:w="0" w:type="dxa"/>
        <w:tblLayout w:type="fixed"/>
        <w:tblCellMar>
          <w:top w:w="0" w:type="dxa"/>
          <w:left w:w="71" w:type="dxa"/>
          <w:bottom w:w="0" w:type="dxa"/>
          <w:right w:w="71" w:type="dxa"/>
        </w:tblCellMar>
      </w:tblPr>
      <w:tblGrid>
        <w:gridCol w:w="1095"/>
        <w:gridCol w:w="2557"/>
        <w:gridCol w:w="6077"/>
      </w:tblGrid>
      <w:tr>
        <w:trPr>
          <w:trHeight w:val="456" w:hRule="atLeast"/>
          <w:cantSplit w:val="true"/>
        </w:trPr>
        <w:tc>
          <w:tcPr>
            <w:tcW w:w="9729" w:type="dxa"/>
            <w:gridSpan w:val="3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szveg"/>
              <w:widowControl/>
              <w:spacing w:before="60" w:after="120"/>
              <w:rPr>
                <w:b/>
              </w:rPr>
            </w:pPr>
            <w:r>
              <w:rPr>
                <w:b/>
              </w:rPr>
              <w:t>Az előző verzióhoz képest változtatott részek:</w:t>
            </w:r>
          </w:p>
        </w:tc>
      </w:tr>
      <w:tr>
        <w:trPr>
          <w:trHeight w:val="606" w:hRule="atLeast"/>
          <w:cantSplit w:val="true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Verzió szám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Változás dátuma</w:t>
            </w:r>
          </w:p>
        </w:tc>
        <w:tc>
          <w:tcPr>
            <w:tcW w:w="6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Változás, módosítás leírása</w:t>
            </w:r>
          </w:p>
        </w:tc>
      </w:tr>
      <w:tr>
        <w:trPr>
          <w:trHeight w:val="387" w:hRule="atLeast"/>
          <w:cantSplit w:val="true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0"/>
                <w:szCs w:val="20"/>
                <w:lang w:val="en-GB"/>
              </w:rPr>
            </w:pPr>
            <w:r>
              <w:t xml:space="preserve">{{rev0_v}}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  <w:lang w:val="en-GB"/>
              </w:rPr>
            </w:pPr>
            <w:r>
              <w:t xml:space="preserve">{{rev0_d}}</w:t>
            </w:r>
          </w:p>
        </w:tc>
        <w:tc>
          <w:tcPr>
            <w:tcW w:w="6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szveg"/>
              <w:widowControl/>
              <w:snapToGrid w:val="false"/>
              <w:spacing w:before="0" w:after="0"/>
              <w:jc w:val="left"/>
              <w:rPr>
                <w:sz w:val="20"/>
                <w:szCs w:val="20"/>
                <w:lang w:val="en-GB"/>
              </w:rPr>
            </w:pPr>
            <w:r>
              <w:t xml:space="preserve">{{rev0_n}}</w:t>
            </w:r>
          </w:p>
        </w:tc>
      </w:tr>
      <w:tr>
        <w:trPr>
          <w:trHeight w:val="420" w:hRule="atLeast"/>
          <w:cantSplit w:val="true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  <w:lang w:val="en-GB"/>
              </w:rPr>
            </w:pPr>
            <w:r>
              <w:t xml:space="preserve">{{rev1_v}}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  <w:lang w:val="en-GB"/>
              </w:rPr>
            </w:pPr>
            <w:r>
              <w:t xml:space="preserve">{{rev1_d}}</w:t>
            </w:r>
          </w:p>
        </w:tc>
        <w:tc>
          <w:tcPr>
            <w:tcW w:w="6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  <w:lang w:val="en-GB"/>
              </w:rPr>
            </w:pPr>
            <w:r>
              <w:t xml:space="preserve">{{rev1_n}}</w:t>
            </w:r>
          </w:p>
        </w:tc>
      </w:tr>
      <w:tr>
        <w:trPr>
          <w:trHeight w:val="420" w:hRule="atLeast"/>
          <w:cantSplit w:val="true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  <w:lang w:val="en-GB"/>
              </w:rPr>
            </w:pPr>
            <w:r>
              <w:t xml:space="preserve">{{rev2_v}}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  <w:lang w:val="en-GB"/>
              </w:rPr>
            </w:pPr>
            <w:r>
              <w:t xml:space="preserve">{{rev2_d}}</w:t>
            </w:r>
          </w:p>
        </w:tc>
        <w:tc>
          <w:tcPr>
            <w:tcW w:w="6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  <w:lang w:val="en-GB"/>
              </w:rPr>
            </w:pPr>
            <w:r>
              <w:t xml:space="preserve">{{rev2_n}}</w:t>
            </w:r>
          </w:p>
        </w:tc>
      </w:tr>
    </w:tbl>
    <w:p>
      <w:pPr>
        <w:pStyle w:val="Normal"/>
        <w:autoSpaceDE w:val="false"/>
        <w:spacing w:before="120" w:after="0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Normal"/>
        <w:ind w:left="705" w:right="0"/>
        <w:jc w:val="center"/>
        <w:rPr/>
      </w:pPr>
      <w:r>
        <w:rPr/>
        <w:t>Megőrzendő a gyártás megszüntetését követő 3 évig!</w:t>
      </w:r>
    </w:p>
    <w:sectPr>
      <w:headerReference w:type="default" r:id="rId5"/>
      <w:headerReference w:type="first" r:id="rId6"/>
      <w:footerReference w:type="default" r:id="rId7"/>
      <w:footerReference w:type="first" r:id="rId8"/>
      <w:type w:val="nextPage"/>
      <w:pgSz w:w="11906" w:h="16838"/>
      <w:pgMar w:left="1418" w:right="1133" w:gutter="0" w:header="709" w:top="1418" w:footer="709" w:bottom="9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ee"/>
    <w:family w:val="roman"/>
    <w:pitch w:val="variable"/>
  </w:font>
  <w:font w:name="Arial">
    <w:charset w:val="ee"/>
    <w:family w:val="swiss"/>
    <w:pitch w:val="variable"/>
  </w:font>
  <w:font w:name="Courier New">
    <w:charset w:val="ee"/>
    <w:family w:val="modern"/>
    <w:pitch w:val="default"/>
  </w:font>
  <w:font w:name="Wingdings">
    <w:charset w:val="02"/>
    <w:family w:val="auto"/>
    <w:pitch w:val="variable"/>
  </w:font>
  <w:font w:name="Verdana">
    <w:charset w:val="ee"/>
    <w:family w:val="swiss"/>
    <w:pitch w:val="variable"/>
  </w:font>
  <w:font w:name="Cambria">
    <w:charset w:val="ee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ee"/>
    <w:family w:val="swiss"/>
    <w:pitch w:val="variable"/>
  </w:font>
  <w:font w:name="Courier New">
    <w:charset w:val="ee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9072"/>
        <w:tab w:val="center" w:pos="4536" w:leader="none"/>
        <w:tab w:val="right" w:pos="9000" w:leader="none"/>
      </w:tabs>
      <w:ind w:right="360"/>
      <w:rPr/>
    </w:pPr>
    <w:r>
      <w:rPr>
        <w:sz w:val="16"/>
        <w:lang w:val="de-DE"/>
      </w:rPr>
      <w:t xml:space="preserve">GYL -  {{productName}}2013 v 1</w:t>
      <w:tab/>
      <w:tab/>
      <w:t/>
    </w:r>
  </w:p>
  <w:p>
    <w:pPr>
      <w:pStyle w:val="Footer"/>
      <w:tabs>
        <w:tab w:val="clear" w:pos="9072"/>
        <w:tab w:val="center" w:pos="4536" w:leader="none"/>
        <w:tab w:val="right" w:pos="9000" w:leader="none"/>
      </w:tabs>
      <w:ind w:right="360"/>
      <w:rPr>
        <w:sz w:val="16"/>
        <w:lang w:val="de-DE"/>
      </w:rPr>
    </w:pPr>
    <w:r>
      <w:rPr>
        <w:sz w:val="16"/>
        <w:lang w:val="de-DE"/>
      </w:rPr>
      <w:tab/>
      <w:tab/>
      <w:t xml:space="preserve">           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9072"/>
        <w:tab w:val="center" w:pos="4536" w:leader="none"/>
        <w:tab w:val="right" w:pos="9000" w:leader="none"/>
      </w:tabs>
      <w:ind w:right="360"/>
      <w:rPr/>
    </w:pPr>
    <w:r>
      <w:rPr>
        <w:sz w:val="16"/>
        <w:lang w:val="de-DE"/>
      </w:rPr>
      <w:t xml:space="preserve">GYL -  {{productName}}2013 v 1</w:t>
      <w:tab/>
      <w:tab/>
      <w:t/>
    </w:r>
  </w:p>
  <w:p>
    <w:pPr>
      <w:pStyle w:val="Footer"/>
      <w:tabs>
        <w:tab w:val="clear" w:pos="9072"/>
        <w:tab w:val="center" w:pos="4536" w:leader="none"/>
        <w:tab w:val="right" w:pos="9000" w:leader="none"/>
      </w:tabs>
      <w:ind w:right="360"/>
      <w:rPr>
        <w:sz w:val="16"/>
        <w:lang w:val="de-DE"/>
      </w:rPr>
    </w:pPr>
    <w:r>
      <w:rPr>
        <w:sz w:val="16"/>
        <w:lang w:val="de-DE"/>
      </w:rPr>
      <w:tab/>
      <w:tab/>
      <w:t xml:space="preserve">           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zveg"/>
      <w:widowControl/>
      <w:spacing w:before="0" w:after="0"/>
      <w:rPr>
        <w:sz w:val="16"/>
        <w:szCs w:val="16"/>
      </w:rPr>
    </w:pPr>
    <w:r>
      <w:rPr>
        <w:sz w:val="16"/>
        <w:szCs w:val="16"/>
      </w:rPr>
      <w:t>WI-O-006 Gyártmánylapok készítése 1.sz. melléklet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450" w:type="pct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7121"/>
      <w:gridCol w:w="3075"/>
    </w:tblGrid>
    <w:tr>
      <w:trPr>
        <w:cantSplit w:val="true"/>
      </w:trPr>
      <w:tc>
        <w:tcPr>
          <w:tcW w:w="712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szveg"/>
            <w:widowControl/>
            <w:spacing w:before="0" w:after="0"/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{{manufacturerName}}</w:t>
          </w:r>
        </w:p>
        <w:p>
          <w:pPr>
            <w:pStyle w:val="szveg"/>
            <w:widowControl/>
            <w:spacing w:before="0" w:after="0"/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{{plantName}}</w:t>
          </w:r>
        </w:p>
      </w:tc>
      <w:tc>
        <w:tcPr>
          <w:tcW w:w="307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szveg"/>
            <w:widowControl/>
            <w:spacing w:before="120" w:after="120"/>
            <w:jc w:val="right"/>
            <w:rPr>
              <w:szCs w:val="24"/>
            </w:rPr>
          </w:pPr>
          <w:r>
            <w:rPr>
              <w:szCs w:val="24"/>
            </w:rPr>
            <w:t xml:space="preserve">Oldalszám </w:t>
          </w:r>
          <w:r>
            <w:rPr>
              <w:rStyle w:val="PageNumber"/>
              <w:lang w:val="nl-NL" w:eastAsia="nl-NL"/>
            </w:rPr>
            <w:fldChar w:fldCharType="begin"/>
          </w:r>
          <w:r>
            <w:rPr>
              <w:rStyle w:val="PageNumber"/>
              <w:lang w:val="nl-NL" w:eastAsia="nl-NL"/>
            </w:rPr>
            <w:instrText xml:space="preserve"> PAGE </w:instrText>
          </w:r>
          <w:r>
            <w:rPr>
              <w:rStyle w:val="PageNumber"/>
              <w:lang w:val="nl-NL" w:eastAsia="nl-NL"/>
            </w:rPr>
            <w:fldChar w:fldCharType="separate"/>
          </w:r>
          <w:r>
            <w:rPr>
              <w:rStyle w:val="PageNumber"/>
              <w:lang w:val="nl-NL" w:eastAsia="nl-NL"/>
            </w:rPr>
            <w:t>7</w:t>
          </w:r>
          <w:r>
            <w:rPr>
              <w:rStyle w:val="PageNumber"/>
              <w:lang w:val="nl-NL" w:eastAsia="nl-NL"/>
            </w:rPr>
            <w:fldChar w:fldCharType="end"/>
          </w:r>
          <w:r>
            <w:rPr>
              <w:szCs w:val="24"/>
            </w:rPr>
            <w:t>[</w:t>
          </w:r>
          <w:r>
            <w:rPr>
              <w:rStyle w:val="PageNumber"/>
              <w:lang w:val="nl-NL" w:eastAsia="nl-NL"/>
            </w:rPr>
            <w:fldChar w:fldCharType="begin"/>
          </w:r>
          <w:r>
            <w:rPr>
              <w:rStyle w:val="PageNumber"/>
              <w:lang w:val="nl-NL" w:eastAsia="nl-NL"/>
            </w:rPr>
            <w:instrText xml:space="preserve"> NUMPAGES \* ARABIC </w:instrText>
          </w:r>
          <w:r>
            <w:rPr>
              <w:rStyle w:val="PageNumber"/>
              <w:lang w:val="nl-NL" w:eastAsia="nl-NL"/>
            </w:rPr>
            <w:fldChar w:fldCharType="separate"/>
          </w:r>
          <w:r>
            <w:rPr>
              <w:rStyle w:val="PageNumber"/>
              <w:lang w:val="nl-NL" w:eastAsia="nl-NL"/>
            </w:rPr>
            <w:t>7</w:t>
          </w:r>
          <w:r>
            <w:rPr>
              <w:rStyle w:val="PageNumber"/>
              <w:lang w:val="nl-NL" w:eastAsia="nl-NL"/>
            </w:rPr>
            <w:fldChar w:fldCharType="end"/>
          </w:r>
          <w:r>
            <w:rPr>
              <w:rStyle w:val="PageNumber"/>
              <w:lang w:val="nl-NL" w:eastAsia="nl-NL"/>
            </w:rPr>
            <w:t>]</w:t>
          </w:r>
        </w:p>
      </w:tc>
    </w:tr>
    <w:tr>
      <w:trPr/>
      <w:tc>
        <w:tcPr>
          <w:tcW w:w="712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szveg"/>
            <w:widowControl/>
            <w:spacing w:before="0" w:after="0"/>
            <w:jc w:val="center"/>
            <w:rPr>
              <w:b/>
              <w:bCs/>
              <w:szCs w:val="24"/>
            </w:rPr>
          </w:pPr>
          <w:r>
            <w:rPr>
              <w:sz w:val="28"/>
              <w:szCs w:val="28"/>
            </w:rPr>
            <w:t>Gyártmánylap</w:t>
          </w:r>
        </w:p>
      </w:tc>
      <w:tc>
        <w:tcPr>
          <w:tcW w:w="307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szveg"/>
            <w:widowControl/>
            <w:spacing w:before="120" w:after="120"/>
            <w:jc w:val="right"/>
            <w:rPr>
              <w:szCs w:val="24"/>
            </w:rPr>
          </w:pPr>
          <w:r>
            <w:rPr>
              <w:szCs w:val="24"/>
            </w:rPr>
            <w:t xml:space="preserve">Érvénybe lépés: {{effectiveDate}}</w:t>
          </w:r>
        </w:p>
      </w:tc>
    </w:tr>
  </w:tbl>
  <w:p>
    <w:pPr>
      <w:pStyle w:val="szveg"/>
      <w:widowControl/>
      <w:spacing w:before="0" w:after="0"/>
      <w:rPr>
        <w:sz w:val="16"/>
      </w:rPr>
    </w:pPr>
    <w:r>
      <w:rPr>
        <w:sz w:val="16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06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upperRoman"/>
      <w:lvlText w:val="%1."/>
      <w:lvlJc w:val="left"/>
      <w:pPr>
        <w:tabs>
          <w:tab w:val="num" w:pos="0"/>
        </w:tabs>
        <w:ind w:left="1287" w:hanging="72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cs="Symbol" w:hint="default"/>
      </w:rPr>
    </w:lvl>
  </w:abstractNum>
  <w:abstractNum w:abstractNumId="8">
    <w:lvl w:ilvl="0">
      <w:start w:val="6"/>
      <w:numFmt w:val="upperRoman"/>
      <w:lvlText w:val="%1."/>
      <w:lvlJc w:val="left"/>
      <w:pPr>
        <w:tabs>
          <w:tab w:val="num" w:pos="0"/>
        </w:tabs>
        <w:ind w:left="1428" w:hanging="720"/>
      </w:pPr>
      <w:rPr/>
    </w:lvl>
  </w:abstractNum>
  <w:abstractNum w:abstractNumId="9">
    <w:lvl w:ilvl="0">
      <w:start w:val="12"/>
      <w:numFmt w:val="bullet"/>
      <w:lvlText w:val="-"/>
      <w:lvlJc w:val="left"/>
      <w:pPr>
        <w:tabs>
          <w:tab w:val="num" w:pos="0"/>
        </w:tabs>
        <w:ind w:left="2520" w:hanging="360"/>
      </w:pPr>
      <w:rPr>
        <w:rFonts w:ascii="Verdana" w:hAnsi="Verdana" w:cs="Verdan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2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HK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hu-H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firstLine="708" w:left="0" w:right="0"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360" w:left="720" w:right="0"/>
      <w:jc w:val="both"/>
      <w:outlineLvl w:val="2"/>
    </w:pPr>
    <w:rPr>
      <w:b/>
      <w:bCs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rFonts w:ascii="Arial" w:hAnsi="Arial" w:cs="Arial"/>
      <w:szCs w:val="20"/>
      <w:lang w:val="nl-NL"/>
    </w:rPr>
  </w:style>
  <w:style w:type="paragraph" w:styleId="Heading6">
    <w:name w:val="heading 6"/>
    <w:basedOn w:val="Normal"/>
    <w:next w:val="Normal"/>
    <w:qFormat/>
    <w:pPr>
      <w:keepNext w:val="true"/>
      <w:widowControl w:val="false"/>
      <w:numPr>
        <w:ilvl w:val="5"/>
        <w:numId w:val="1"/>
      </w:numPr>
      <w:jc w:val="center"/>
      <w:outlineLvl w:val="5"/>
    </w:pPr>
    <w:rPr>
      <w:b/>
      <w:szCs w:val="20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8z1">
    <w:name w:val="WW8Num8z1"/>
    <w:qFormat/>
    <w:rPr>
      <w:rFonts w:ascii="Times New Roman" w:hAnsi="Times New Roman" w:eastAsia="Times New Roman" w:cs="Times New Roman"/>
      <w:b/>
    </w:rPr>
  </w:style>
  <w:style w:type="character" w:styleId="WW8Num9z0">
    <w:name w:val="WW8Num9z0"/>
    <w:qFormat/>
    <w:rPr/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i w:val="false"/>
    </w:rPr>
  </w:style>
  <w:style w:type="character" w:styleId="WW8Num16z0">
    <w:name w:val="WW8Num16z0"/>
    <w:qFormat/>
    <w:rPr/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Wingdings" w:hAnsi="Wingdings" w:cs="Wingdings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/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Verdana" w:hAnsi="Verdana" w:eastAsia="Times New Roman" w:cs="Aria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>
      <w:rFonts w:ascii="Verdana" w:hAnsi="Verdana" w:eastAsia="Times New Roman" w:cs="Arial"/>
      <w:sz w:val="20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8z3">
    <w:name w:val="WW8Num28z3"/>
    <w:qFormat/>
    <w:rPr>
      <w:rFonts w:ascii="Symbol" w:hAnsi="Symbol" w:cs="Symbol"/>
    </w:rPr>
  </w:style>
  <w:style w:type="character" w:styleId="Bekezdsalapbettpusa">
    <w:name w:val="Bekezdés alapbetűtípusa"/>
    <w:qFormat/>
    <w:rPr/>
  </w:style>
  <w:style w:type="character" w:styleId="PageNumber">
    <w:name w:val="page number"/>
    <w:basedOn w:val="Bekezdsalapbettpusa"/>
    <w:rPr/>
  </w:style>
  <w:style w:type="character" w:styleId="lfejChar">
    <w:name w:val="Élőfej Char"/>
    <w:qFormat/>
    <w:rPr>
      <w:lang w:val="nl-NL" w:bidi="ar-SA"/>
    </w:rPr>
  </w:style>
  <w:style w:type="character" w:styleId="Jegyzethivatkozs">
    <w:name w:val="Jegyzethivatkozás"/>
    <w:qFormat/>
    <w:rPr>
      <w:sz w:val="16"/>
      <w:szCs w:val="16"/>
    </w:rPr>
  </w:style>
  <w:style w:type="character" w:styleId="JegyzetszvegChar">
    <w:name w:val="Jegyzetszöveg Char"/>
    <w:basedOn w:val="Bekezdsalapbettpusa"/>
    <w:qFormat/>
    <w:rPr/>
  </w:style>
  <w:style w:type="character" w:styleId="MegjegyzstrgyaChar">
    <w:name w:val="Megjegyzés tárgya Char"/>
    <w:qFormat/>
    <w:rPr>
      <w:b/>
      <w:bCs/>
    </w:rPr>
  </w:style>
  <w:style w:type="character" w:styleId="AlcmChar">
    <w:name w:val="Alcím Char"/>
    <w:qFormat/>
    <w:rPr>
      <w:rFonts w:ascii="Cambria" w:hAnsi="Cambria" w:eastAsia="Times New Roman" w:cs="Times New Roman"/>
      <w:sz w:val="24"/>
      <w:szCs w:val="24"/>
    </w:rPr>
  </w:style>
  <w:style w:type="character" w:styleId="SzvegtrzsChar">
    <w:name w:val="Szövegtörzs Char"/>
    <w:qFormat/>
    <w:rPr>
      <w:color w:val="000000"/>
      <w:sz w:val="24"/>
    </w:rPr>
  </w:style>
  <w:style w:type="character" w:styleId="st">
    <w:name w:val="st"/>
    <w:qFormat/>
    <w:rPr/>
  </w:style>
  <w:style w:type="character" w:styleId="Cmsor2Char">
    <w:name w:val="Címsor 2 Char"/>
    <w:qFormat/>
    <w:rPr>
      <w:b/>
      <w:bCs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/>
    <w:rPr>
      <w:color w:val="00000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>
      <w:sz w:val="20"/>
      <w:szCs w:val="20"/>
      <w:lang w:val="nl-NL"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>
      <w:sz w:val="20"/>
      <w:szCs w:val="20"/>
      <w:lang w:val="nl-NL"/>
    </w:rPr>
  </w:style>
  <w:style w:type="paragraph" w:styleId="szveg">
    <w:name w:val="szöveg"/>
    <w:basedOn w:val="Normal"/>
    <w:qFormat/>
    <w:pPr>
      <w:widowControl w:val="false"/>
      <w:spacing w:before="120" w:after="120"/>
      <w:jc w:val="both"/>
    </w:pPr>
    <w:rPr>
      <w:szCs w:val="20"/>
    </w:rPr>
  </w:style>
  <w:style w:type="paragraph" w:styleId="fcm">
    <w:name w:val="főcím"/>
    <w:basedOn w:val="Heading1"/>
    <w:qFormat/>
    <w:pPr>
      <w:keepNext w:val="false"/>
      <w:numPr>
        <w:ilvl w:val="0"/>
        <w:numId w:val="0"/>
      </w:numPr>
      <w:spacing w:before="4960" w:after="4960"/>
      <w:ind w:hanging="0" w:left="851" w:right="0"/>
      <w:outlineLvl w:val="9"/>
    </w:pPr>
    <w:rPr>
      <w:rFonts w:ascii="Times New Roman" w:hAnsi="Times New Roman" w:cs="Times New Roman"/>
      <w:caps/>
      <w:kern w:val="0"/>
      <w:sz w:val="56"/>
      <w:szCs w:val="20"/>
      <w:u w:val="single"/>
    </w:rPr>
  </w:style>
  <w:style w:type="paragraph" w:styleId="BodyTextIndent">
    <w:name w:val="Body Text Indent"/>
    <w:basedOn w:val="Normal"/>
    <w:pPr>
      <w:ind w:hanging="0" w:left="1560" w:right="0"/>
    </w:pPr>
    <w:rPr>
      <w:i/>
      <w:iCs/>
    </w:rPr>
  </w:style>
  <w:style w:type="paragraph" w:styleId="Szvegtrzsbehzssal3">
    <w:name w:val="Szövegtörzs behúzással 3"/>
    <w:basedOn w:val="Normal"/>
    <w:qFormat/>
    <w:pPr>
      <w:ind w:hanging="0" w:left="900" w:right="0"/>
    </w:pPr>
    <w:rPr/>
  </w:style>
  <w:style w:type="paragraph" w:styleId="Szvegtrzsbehzssal2">
    <w:name w:val="Szövegtörzs behúzással 2"/>
    <w:basedOn w:val="Normal"/>
    <w:qFormat/>
    <w:pPr>
      <w:ind w:hanging="0" w:left="708" w:right="0"/>
    </w:pPr>
    <w:rPr/>
  </w:style>
  <w:style w:type="paragraph" w:styleId="NormlWeb">
    <w:name w:val="Normál (Web)"/>
    <w:basedOn w:val="Normal"/>
    <w:qFormat/>
    <w:pPr>
      <w:spacing w:before="280" w:after="280"/>
    </w:pPr>
    <w:rPr>
      <w:sz w:val="21"/>
      <w:szCs w:val="21"/>
    </w:rPr>
  </w:style>
  <w:style w:type="paragraph" w:styleId="Buborkszveg">
    <w:name w:val="Buborékszöveg"/>
    <w:basedOn w:val="Normal"/>
    <w:qFormat/>
    <w:pPr/>
    <w:rPr>
      <w:rFonts w:ascii="Tahoma" w:hAnsi="Tahoma" w:cs="Tahoma"/>
      <w:sz w:val="16"/>
      <w:szCs w:val="16"/>
    </w:rPr>
  </w:style>
  <w:style w:type="paragraph" w:styleId="Jegyzetszveg">
    <w:name w:val="Jegyzetszöveg"/>
    <w:basedOn w:val="Normal"/>
    <w:qFormat/>
    <w:pPr/>
    <w:rPr>
      <w:sz w:val="20"/>
      <w:szCs w:val="20"/>
    </w:rPr>
  </w:style>
  <w:style w:type="paragraph" w:styleId="Megjegyzstrgya">
    <w:name w:val="Megjegyzés tárgya"/>
    <w:basedOn w:val="Jegyzetszveg"/>
    <w:next w:val="Jegyzetszveg"/>
    <w:qFormat/>
    <w:pPr/>
    <w:rPr>
      <w:b/>
      <w:bCs/>
    </w:rPr>
  </w:style>
  <w:style w:type="paragraph" w:styleId="Subtitle">
    <w:name w:val="Subtitle"/>
    <w:basedOn w:val="Normal"/>
    <w:next w:val="Normal"/>
    <w:qFormat/>
    <w:pPr>
      <w:spacing w:before="0" w:after="60"/>
      <w:jc w:val="center"/>
      <w:outlineLvl w:val="1"/>
    </w:pPr>
    <w:rPr>
      <w:rFonts w:ascii="Cambria" w:hAnsi="Cambria" w:eastAsia="Times New Roman" w:cs="Times New Roma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LibreOffice/25.2.6.2$Linux_X86_64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2017-02-08T09:53:00Z</dcterms:created>
  <dc:creator>Popomajer, T. (Tibor)</dc:creator>
  <dc:description/>
  <cp:keywords/>
  <dc:language>en-US</dc:language>
  <cp:lastModifiedBy>Popomajer Tibor</cp:lastModifiedBy>
  <cp:lastPrinted>2016-10-04T10:51:00Z</cp:lastPrinted>
  <dcterms:modified xsi:type="dcterms:W3CDTF">2017-03-29T07:32:00Z</dcterms:modified>
  <cp:revision>10</cp:revision>
  <dc:subject/>
  <dc:title>  </dc:title>
</cp:coreProperties>
</file>