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360" w:leader="none"/>
        </w:tabs>
        <w:suppressAutoHyphens w:val="true"/>
        <w:ind w:hanging="720" w:left="720" w:right="0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caps/>
          <w:sz w:val="18"/>
          <w:szCs w:val="18"/>
          <w:u w:val="single"/>
          <w:lang w:val="en-GB"/>
        </w:rPr>
        <w:t>Általános információk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/ 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>GENERAL INFORMATION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</w:tabs>
        <w:suppressAutoHyphens w:val="true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</w:r>
    </w:p>
    <w:tbl>
      <w:tblPr>
        <w:tblW w:w="979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898"/>
        <w:gridCol w:w="1752"/>
        <w:gridCol w:w="60"/>
        <w:gridCol w:w="120"/>
        <w:gridCol w:w="1920"/>
        <w:gridCol w:w="60"/>
        <w:gridCol w:w="1980"/>
      </w:tblGrid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1.1.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Termék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név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Name of product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{{productName}}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1.2. Azonosítószám (SAP)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Number of identity(SAP):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{{sapCode}}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1.2.1. TARIC kód/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TARIC code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{{taricCode}}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1.3.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 Jogszabályi előírások/</w:t>
            </w:r>
          </w:p>
          <w:p>
            <w:pPr>
              <w:pStyle w:val="Nincstrkz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Legal requirements</w:t>
            </w:r>
          </w:p>
          <w:p>
            <w:pPr>
              <w:pStyle w:val="Nincstrkz"/>
              <w:rPr/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……………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..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szakvélemény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 pl OÉTI , egyéb akkreditált laborszakvéleménye, azonosító szám</w:t>
            </w:r>
          </w:p>
          <w:p>
            <w:pPr>
              <w:pStyle w:val="Nincstrkz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 xml:space="preserve">....................... expertise: OÉTI, other akkredeted laboratory, identification number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{{regs}}</w:t>
            </w:r>
          </w:p>
        </w:tc>
      </w:tr>
      <w:tr>
        <w:trPr>
          <w:trHeight w:val="397" w:hRule="atLeast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Cs w:val="false"/>
                <w:i w:val="false"/>
                <w:sz w:val="18"/>
                <w:szCs w:val="18"/>
                <w:lang w:val="nl-NL"/>
              </w:rPr>
              <w:t>1.4. Gyártó adatai/</w:t>
            </w:r>
            <w:r>
              <w:rPr>
                <w:rFonts w:cs="Times New Roman" w:ascii="Verdana" w:hAnsi="Verdana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sz w:val="18"/>
                <w:szCs w:val="18"/>
                <w:lang w:val="nl-NL"/>
              </w:rPr>
              <w:t>Data of Producer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1.4.1. Gyártó üzem megnevezése/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Name of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or Producer plant: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{{plantName}}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1.4.2. Gyártó üzem címe/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Address of  Producerplant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/>
            </w:pPr>
            <w:r>
              <w:rPr>
                <w:rFonts w:cs="Times New Roman" w:ascii="Verdana" w:hAnsi="Verdana"/>
                <w:b w:val="false"/>
                <w:i w:val="false"/>
                <w:szCs w:val="20"/>
                <w:lang w:val="nl-NL"/>
              </w:rPr>
              <w:t xml:space="preserve">{{plantAddressMark}}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1.5. Termék leírása/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General description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/>
            </w:pPr>
            <w:r>
              <w:rPr>
                <w:rFonts w:cs="Arial" w:ascii="Verdana" w:hAnsi="Verdana"/>
                <w:color w:val="000000"/>
                <w:sz w:val="20"/>
                <w:szCs w:val="20"/>
              </w:rPr>
              <w:t xml:space="preserve">{{description}}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1.5.1.Ajánlott felhasználási terület/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Application of Using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{{recommendedUse}}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1.5.2.Ajánlott fogyasztói csoport/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Consuming group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{{consumerGroup}}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1.6. Csomagolás/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Packaging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</w:rPr>
              <w:t>1.6.1. Egyedi (elsődleges)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Unit packaging (primary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1.6.1.1. Csomagolás leírása/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{{packagingMaterial}}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nl-NL"/>
              </w:rPr>
              <w:t>1.6.2. Gyűjtő (másodlagos)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Outher packaging (secondary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1.6.2.1. Csomagolás leírása/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{{secondaryPackaging}}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Érték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Nettó tömeg/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Net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{{caseNet}}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/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{{caseUnits}}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Bruttó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tömeg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Gross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{{caseGross}}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-</w:t>
            </w:r>
          </w:p>
        </w:tc>
      </w:tr>
      <w:tr>
        <w:trPr>
          <w:trHeight w:val="56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1.6.3. Szállítói, logisztikai (raklap) csomagolás/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Transport, logistic packaging (pallet)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1.6.3.1. Csomagolás típusa/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Packaging type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fr-FR"/>
              </w:rPr>
              <w:t xml:space="preserve">{{palletPackaging}}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Érték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eastAsia="Verdana" w:cs="Verdana" w:ascii="Verdana" w:hAnsi="Verdana"/>
                <w:b w:val="false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1.6.4. Azonosítás és jelölés/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Identification and labelling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Heading8"/>
              <w:rPr>
                <w:rFonts w:ascii="Verdana" w:hAnsi="Verdana" w:cs="Times New Roman"/>
                <w:i w:val="false"/>
                <w:i w:val="false"/>
                <w:iCs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Import termékeknél magyar nyelvű felirat kötelező!/</w:t>
            </w:r>
          </w:p>
          <w:p>
            <w:pPr>
              <w:pStyle w:val="Heading8"/>
              <w:rPr>
                <w:rFonts w:ascii="Verdana" w:hAnsi="Verdana" w:cs="Times New Roman"/>
                <w:b w:val="false"/>
                <w:bCs w:val="false"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Import products must have a label in Hungarian.</w:t>
            </w:r>
          </w:p>
          <w:p>
            <w:pPr>
              <w:pStyle w:val="Heading8"/>
              <w:rPr/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Termék megnevezése/</w:t>
            </w: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Name of product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Bruttó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Gross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Nettó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Net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Darabszám (db)/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Apiece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Gyártási tétel azonosító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/ Construction number(date of production, number of order)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Minőség megőrzési idő/felhasználhatóság dátuma (nap, hó, év)/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Time of shelf life (day, mounth, year)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Gyártó, forgalmazó neve/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Name of Producer or Importer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Egyéb ÉM előírások.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1.7. Raktározási feltételek/</w:t>
            </w:r>
          </w:p>
          <w:p>
            <w:pPr>
              <w:pStyle w:val="Heading9"/>
              <w:rPr>
                <w:rFonts w:ascii="Verdana" w:hAnsi="Verdana" w:cs="Times New Roman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  <w:lang w:val="hu-HU"/>
              </w:rPr>
              <w:t>Storage conditions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iCs/>
                <w:sz w:val="16"/>
                <w:szCs w:val="16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hu-HU"/>
              </w:rPr>
              <w:t>Raktározással szembeni általános előírások</w:t>
            </w: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  <w:lang w:val="hu-HU"/>
              </w:rPr>
              <w:t xml:space="preserve"> 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Storage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{{storage}}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Hőmérséklet/</w:t>
            </w:r>
          </w:p>
          <w:p>
            <w:pPr>
              <w:pStyle w:val="Heading5"/>
              <w:rPr>
                <w:rFonts w:ascii="Verdana" w:hAnsi="Verdana" w:cs="Verdana"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vertAlign w:val="superscript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vertAlign w:val="superscript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{{storageHumidity}}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>1.8. Szállítási feltételek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fr-FR"/>
              </w:rPr>
              <w:t>Transport conditions</w:t>
            </w:r>
            <w:r>
              <w:rPr>
                <w:rFonts w:cs="Verdana" w:ascii="Verdana" w:hAnsi="Verdana"/>
                <w:sz w:val="18"/>
                <w:szCs w:val="18"/>
                <w:lang w:val="fr-FR"/>
              </w:rPr>
              <w:t xml:space="preserve"> 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Szállítással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 szembeni általános előírások/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Transport</w:t>
            </w: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{{transport}}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Hőmérséklet/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fr-FR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{{transportHumidity}}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1.9. Minőségmegőrzési/ fogyaszthatósági idő (nap)/</w:t>
            </w:r>
          </w:p>
          <w:p>
            <w:pPr>
              <w:pStyle w:val="Heading4"/>
              <w:rPr>
                <w:rFonts w:ascii="Verdana" w:hAnsi="Verdana" w:cs="Verdana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sz w:val="18"/>
                <w:szCs w:val="18"/>
                <w:lang w:val="nl-NL"/>
              </w:rPr>
              <w:t>Best before time(day)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en-GB"/>
              </w:rPr>
              <w:t xml:space="preserve">{{shelfLife}}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1.10.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Forgalmazási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 módszerek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fr-FR"/>
              </w:rPr>
              <w:t>Methods of distributions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{{distributionConditions}}</w:t>
            </w:r>
          </w:p>
        </w:tc>
      </w:tr>
    </w:tbl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right="-477"/>
        <w:rPr>
          <w:rFonts w:ascii="Verdana" w:hAnsi="Verdana" w:cs="Verdana"/>
          <w:smallCaps/>
          <w:sz w:val="18"/>
          <w:szCs w:val="18"/>
          <w:lang w:val="en-GB"/>
        </w:rPr>
      </w:pPr>
      <w:r>
        <w:rPr>
          <w:rFonts w:cs="Verdana" w:ascii="Verdana" w:hAnsi="Verdana"/>
          <w:smallCaps/>
          <w:sz w:val="18"/>
          <w:szCs w:val="18"/>
          <w:lang w:val="en-GB"/>
        </w:rPr>
      </w:r>
      <w:r>
        <w:br w:type="page"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hanging="360" w:left="72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  <w:t>KÉSZTERMÉK SPECIFIKÁCIÓ /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 xml:space="preserve"> SPECIFICATION OF ENDPRODUCT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left="36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Cs/>
          <w:sz w:val="18"/>
          <w:szCs w:val="18"/>
          <w:u w:val="single"/>
          <w:lang w:val="en-GB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880"/>
        <w:gridCol w:w="900"/>
        <w:gridCol w:w="1080"/>
        <w:gridCol w:w="1094"/>
        <w:gridCol w:w="283"/>
        <w:gridCol w:w="423"/>
        <w:gridCol w:w="3060"/>
      </w:tblGrid>
      <w:tr>
        <w:trPr>
          <w:trHeight w:val="510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2.1. Termékösszetétel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Product composition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</w:rPr>
              <w:t>*Csak a deklaráció köteles mennyiséget kell megadni /</w:t>
            </w: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Only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significant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ingredients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quantity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must be provided</w:t>
            </w:r>
          </w:p>
        </w:tc>
      </w:tr>
      <w:tr>
        <w:trPr>
          <w:trHeight w:val="688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Összetevők csökkenő mennyiségű felsorolása/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Ingredient name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  <w:lang w:val="de-DE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u w:val="none"/>
              </w:rPr>
              <w:t>Megjegyzés</w:t>
            </w:r>
            <w:r>
              <w:rPr>
                <w:rFonts w:cs="Verdana" w:ascii="Verdana" w:hAnsi="Verdana"/>
                <w:bCs/>
                <w:sz w:val="18"/>
                <w:szCs w:val="18"/>
                <w:u w:val="none"/>
                <w:lang w:val="de-DE"/>
              </w:rPr>
              <w:t>/</w:t>
            </w:r>
          </w:p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</w:rPr>
            </w:pPr>
            <w:r>
              <w:rPr>
                <w:rFonts w:cs="Verdana" w:ascii="Verdana" w:hAnsi="Verdana"/>
                <w:b w:val="false"/>
                <w:i/>
                <w:iCs/>
                <w:sz w:val="18"/>
                <w:szCs w:val="18"/>
                <w:u w:val="none"/>
                <w:lang w:val="de-DE"/>
              </w:rPr>
              <w:t>Comment</w:t>
            </w:r>
          </w:p>
        </w:tc>
      </w:tr>
      <w:tr>
        <w:trPr>
          <w:trHeight w:val="3246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cs="Arial" w:ascii="Verdana" w:hAnsi="Verdana"/>
                <w:sz w:val="20"/>
                <w:szCs w:val="20"/>
              </w:rPr>
              <w:t xml:space="preserve">{{ingredientText}}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Felhasználási javaslat</w:t>
            </w:r>
          </w:p>
          <w:p>
            <w:pPr>
              <w:pStyle w:val="Header"/>
              <w:tabs>
                <w:tab w:val="clear" w:pos="4153"/>
                <w:tab w:val="clear" w:pos="8306"/>
              </w:tabs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Proposal for use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hu-HU"/>
              </w:rPr>
              <w:t xml:space="preserve">{{recommendedUse}}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Átlagos tápérték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 (g) 100 g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termékben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>/</w:t>
            </w:r>
            <w:r>
              <w:rPr>
                <w:rFonts w:cs="Verdana" w:ascii="Verdana" w:hAnsi="Verdana"/>
                <w:b w:val="false"/>
                <w:iCs/>
                <w:sz w:val="18"/>
                <w:szCs w:val="18"/>
                <w:u w:val="none"/>
              </w:rPr>
              <w:t xml:space="preserve"> Average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 xml:space="preserve">nutritional composition (g) in 100 g 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Energia tartalom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(kJ, kcal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Energy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{{n_energy}}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Zsír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Fat</w:t>
            </w:r>
          </w:p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amelyből telített zsírsavak (g)/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which saturated fatty acids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{{n_fat_sat}}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hu-HU"/>
              </w:rPr>
              <w:t xml:space="preserve">Szénhidrát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Carbon hydrate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amelyből cukrok (g)/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which sugars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{{n_carb_sug}}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TFA az összes zsírban/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TFA in total fat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{{n_tfa}}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 xml:space="preserve">Fehérje 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(g)/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>Protein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{{n_protein}}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Élelmi rost (g)/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Fibre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{{n_fibre}}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Só (g) 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Salt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{{n_salt}}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rPr>
                <w:rFonts w:ascii="Verdana" w:hAnsi="Verdana" w:cs="Times New Roman"/>
                <w:i/>
                <w:i/>
                <w:iCs/>
                <w:caps/>
                <w:sz w:val="18"/>
                <w:szCs w:val="18"/>
              </w:rPr>
            </w:pP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 xml:space="preserve">2.2.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Minőségi</w:t>
            </w:r>
            <w:r>
              <w:rPr>
                <w:rFonts w:cs="Times New Roman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jellemzők</w:t>
            </w: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</w:rPr>
              <w:t>Quality specifications</w:t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2.2.1. Fizikai tulajdonságok/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Physical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Tömeg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{{weightTolerance}}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13/2008. (VIII.8)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NFGM-FVM egy.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2.2.2. Kémiai tulajdonságok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Chemicals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nl-NL"/>
              </w:rPr>
              <w:t>Zsírtartalom/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iCs/>
                <w:sz w:val="18"/>
                <w:szCs w:val="18"/>
                <w:u w:val="none"/>
              </w:rPr>
            </w:pPr>
            <w:r>
              <w:rPr>
                <w:rFonts w:eastAsia="Verdana"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 xml:space="preserve"> </w:t>
            </w:r>
            <w:r>
              <w:rPr>
                <w:rFonts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>Fat content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m/m%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{{fatValue}}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{{acceptanceRange}}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Belső szabvány/ </w:t>
              <w:br/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inner standard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snapToGrid w:val="false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</w:rPr>
      </w:pPr>
      <w:r>
        <w:br w:type="page"/>
      </w:r>
      <w:r>
        <w:rPr>
          <w:rFonts w:cs="Verdana" w:ascii="Verdana" w:hAnsi="Verdana"/>
          <w:sz w:val="18"/>
          <w:szCs w:val="18"/>
        </w:rPr>
      </w:r>
    </w:p>
    <w:tbl>
      <w:tblPr>
        <w:tblW w:w="9882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394"/>
        <w:gridCol w:w="292"/>
        <w:gridCol w:w="613"/>
        <w:gridCol w:w="541"/>
        <w:gridCol w:w="263"/>
        <w:gridCol w:w="871"/>
        <w:gridCol w:w="308"/>
        <w:gridCol w:w="1656"/>
        <w:gridCol w:w="1944"/>
      </w:tblGrid>
      <w:tr>
        <w:trPr>
          <w:trHeight w:val="510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2.2.3. Mikrobiológiai jellemzők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Microbiological parameters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n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c</w:t>
            </w: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M</w:t>
            </w: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{{micro}}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iCs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</w:tr>
      <w:tr>
        <w:trPr>
          <w:trHeight w:val="397" w:hRule="atLeast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2.2.4. Érzékszervi jellemzők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 Organoleptic properties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: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Külső megjelenés (alak,szín)/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Appearance ( form, color,)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Cs/>
                <w:sz w:val="16"/>
                <w:szCs w:val="16"/>
                <w:lang w:val="en-GB"/>
              </w:rPr>
              <w:t xml:space="preserve">{{sensory}}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Állomány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 xml:space="preserve"> Consistency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Szag/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Smell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Íz/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T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aste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Egyéb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Othe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r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8"/>
                <w:szCs w:val="18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A termék idegen íztől és szagtól mentes.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The product is free from foreign tast and smell.</w:t>
            </w:r>
          </w:p>
        </w:tc>
      </w:tr>
      <w:tr>
        <w:trPr>
          <w:trHeight w:val="510" w:hRule="atLeast"/>
          <w:cantSplit w:val="true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2.2.5. Élelmiszerbiztonsági kritériumok/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Food safety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Nehézfémek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Heavymetal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As: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Hg: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Pb: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Cd: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&lt;0,02</w:t>
            </w:r>
          </w:p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&lt;0,01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17/1999 EüM rend., 10/2002(I.23.) FVM rendelet,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1881/2006. EK rendelet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Belső szabvány 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Mikotoxinok/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Mycotoxins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Aflatoxin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Patulin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Egyéb mycotoxinok/</w:t>
            </w:r>
          </w:p>
          <w:p>
            <w:pPr>
              <w:pStyle w:val="Normal"/>
              <w:tabs>
                <w:tab w:val="clear" w:pos="708"/>
                <w:tab w:val="left" w:pos="1800" w:leader="none"/>
              </w:tabs>
              <w:ind w:firstLine="180" w:left="289" w:right="0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mycotoxis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Egyéb 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toxins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Symbol" w:cs="Symbol" w:ascii="Symbol" w:hAnsi="Symbol"/>
                <w:sz w:val="16"/>
                <w:szCs w:val="16"/>
                <w:lang w:val="en-GB"/>
              </w:rPr>
              <w:sym w:font="Symbol" w:char="f06d"/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&lt;50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&lt;10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 EK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Belső szabvány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Növényvédő-, rovarirtószer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Pesticides and insecticides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Szerves klór és foszfát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Organic chlorine and phosphate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Rádióaktivitás/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Radioactivity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>3954/87EURATOM</w:t>
            </w:r>
          </w:p>
        </w:tc>
      </w:tr>
      <w:tr>
        <w:trPr>
          <w:trHeight w:val="510" w:hRule="atLeast"/>
          <w:cantSplit w:val="true"/>
        </w:trPr>
        <w:tc>
          <w:tcPr>
            <w:tcW w:w="510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GMO mentesség igazolása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GMO-declaration</w:t>
            </w:r>
          </w:p>
        </w:tc>
        <w:tc>
          <w:tcPr>
            <w:tcW w:w="47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  <w:u w:val="single"/>
                <w:lang w:val="en-GB"/>
              </w:rPr>
              <w:t xml:space="preserve">mentes / 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  <w:u w:val="single"/>
                <w:lang w:val="en-GB"/>
              </w:rPr>
              <w:t>free</w:t>
            </w:r>
          </w:p>
          <w:p>
            <w:pPr>
              <w:pStyle w:val="Normal"/>
              <w:rPr>
                <w:rFonts w:ascii="Verdana" w:hAnsi="Verdana" w:cs="Verdana"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nem mentes 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not free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134" w:footer="519" w:bottom="575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tbl>
      <w:tblPr>
        <w:tblW w:w="9720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958"/>
        <w:gridCol w:w="902"/>
        <w:gridCol w:w="3957"/>
        <w:gridCol w:w="903"/>
      </w:tblGrid>
      <w:tr>
        <w:trPr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Élelmiszer allergének/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Allergens and food intolerance</w:t>
            </w:r>
          </w:p>
        </w:tc>
        <w:tc>
          <w:tcPr>
            <w:tcW w:w="57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Jelenlét/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Presence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: + ;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Mentesség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Freeness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- ;</w:t>
            </w:r>
          </w:p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Lehetséges előfordulás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Possible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?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Glutént tartalmazó gabona/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cereal wich contains gluten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(Búza/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Wheat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Rozs/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 xml:space="preserve">Ryes,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Árpa/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Barley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Zab/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Oat,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 xml:space="preserve"> Tönköly/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Spelt,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Kamut búza/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Kamut wheat,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{{al_gluten}}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Tej és abból készült termékek(laktóz)/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Milk and milk products(Lactose)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{{al_milk}}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Rákfélék és azokból készült termékek/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S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ort of crab and crab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{{al_crustaceans}}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Zeller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Celeryand celery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{{al_celery}}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Tojás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Egg and egg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{{al_egg}}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Mustár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Mustard and mustard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{{al_mustard}}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Halak és azokból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Fishes and fish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{{al_fish}}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Szezámmag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Teel and teel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{{al_sesame}}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Földimogyoró és abból készült termékek/</w:t>
            </w:r>
          </w:p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Peanuts and peanuts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{{al_peanut}}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Kén-dioxid és SO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2-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ben kifejezett szulfitok 10 mg/kg, illetve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10 mg/liter koncentrációt meghaladó mennyiségben/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 xml:space="preserve">2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and Sulphite declaration in 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>2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 xml:space="preserve"> if the degree of concentration is more than 10 mg/kg or 10 mg/liter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{{al_sulphites}}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Szójabab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Soya-bean and soya-bean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{{al_soy}}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Édesgyökér/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Glycyrrhizia glabra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{{al_licorice}}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autoSpaceDE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Csillagfürt és abból készült termékek/</w:t>
            </w:r>
          </w:p>
          <w:p>
            <w:pPr>
              <w:pStyle w:val="Normal"/>
              <w:autoSpaceDE w:val="false"/>
              <w:rPr>
                <w:rFonts w:ascii="Verdana" w:hAnsi="Verdana" w:cs="Arial"/>
                <w:sz w:val="18"/>
                <w:szCs w:val="18"/>
                <w:lang w:val="hu-HU" w:eastAsia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 w:eastAsia="hu-HU"/>
              </w:rPr>
              <w:t>Lupine and lupine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{{al_lupin}}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Puhatestűek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Molluscs and molluscs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{{al_molluscs}}</w:t>
            </w:r>
          </w:p>
        </w:tc>
      </w:tr>
      <w:tr>
        <w:trPr>
          <w:trHeight w:val="340" w:hRule="atLeast"/>
          <w:cantSplit w:val="true"/>
        </w:trPr>
        <w:tc>
          <w:tcPr>
            <w:tcW w:w="88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Diófélék/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Sort of nuts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: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Mandula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(Amygdalus communis L.)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Almond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Mogyoró (Corylus avellana)/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Dió/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Walnut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Kesudió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(Anacardium occidentale),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Pekándió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(Carya illinoiesis (Wangenh.) K. Koch),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Brazil 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(Bertholletia excelsa),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Pisztácia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(Pistacia vera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Pistachio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Makadámia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és queenslandi dió (Macadamia ternifolia)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{{al_nuts}}</w:t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p>
      <w:pPr>
        <w:pStyle w:val="Normal"/>
        <w:rPr>
          <w:rFonts w:ascii="Verdana" w:hAnsi="Verdana" w:cs="Verdana"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caps/>
          <w:sz w:val="18"/>
          <w:szCs w:val="18"/>
        </w:rPr>
        <w:t>Specifikáció mellékletei</w:t>
      </w:r>
      <w:r>
        <w:rPr>
          <w:rFonts w:cs="Verdana" w:ascii="Verdana" w:hAnsi="Verdana"/>
          <w:b/>
          <w:iCs/>
          <w:caps/>
          <w:sz w:val="18"/>
          <w:szCs w:val="18"/>
        </w:rPr>
        <w:t>/</w:t>
      </w:r>
      <w:r>
        <w:rPr>
          <w:rFonts w:cs="Verdana" w:ascii="Verdana" w:hAnsi="Verdana"/>
          <w:i/>
          <w:iCs/>
          <w:caps/>
          <w:sz w:val="18"/>
          <w:szCs w:val="18"/>
        </w:rPr>
        <w:t>SUPPLEMENT</w:t>
      </w:r>
    </w:p>
    <w:p>
      <w:pPr>
        <w:pStyle w:val="Normal"/>
        <w:rPr>
          <w:rFonts w:ascii="Verdana" w:hAnsi="Verdana" w:cs="Verdana"/>
          <w:b/>
          <w:bCs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i/>
          <w:iCs/>
          <w:sz w:val="18"/>
          <w:szCs w:val="18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134"/>
        <w:gridCol w:w="4678"/>
        <w:gridCol w:w="3908"/>
      </w:tblGrid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Cs w:val="false"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Megnevezés/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hu-HU"/>
              </w:rPr>
              <w:t>Name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i/>
                <w:i/>
                <w:iCs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Megjegyzés/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Comment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 .... szakvélemény (OÉTI) felhasznált alapanyagokra/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for raw material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Fénymásolt……. szakvélemény (OÉTI) késztermékre/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for finished goods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Minden szállítmányhoz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Minőségi Bizonyítvány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 csatolva/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b w:val="false"/>
                <w:bCs/>
                <w:i/>
                <w:sz w:val="18"/>
                <w:szCs w:val="18"/>
                <w:u w:val="none"/>
              </w:rPr>
              <w:t>Quality certificate enclose in all consignment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4" w:hRule="atLeas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Egyéb/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Other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kötelező szöveg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grafika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bCs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b/>
          <w:bCs/>
          <w:sz w:val="18"/>
          <w:szCs w:val="18"/>
        </w:rPr>
        <w:t xml:space="preserve">EGYÉB INFORMÁCIÓK/ </w:t>
      </w:r>
      <w:r>
        <w:rPr>
          <w:rFonts w:cs="Verdana" w:ascii="Verdana" w:hAnsi="Verdana"/>
          <w:i/>
          <w:iCs/>
          <w:caps/>
          <w:sz w:val="18"/>
          <w:szCs w:val="18"/>
        </w:rPr>
        <w:t>Other informations</w:t>
      </w:r>
      <w:r>
        <w:rPr>
          <w:rFonts w:cs="Verdana" w:ascii="Verdana" w:hAnsi="Verdana"/>
          <w:iCs/>
          <w:caps/>
          <w:sz w:val="18"/>
          <w:szCs w:val="18"/>
        </w:rPr>
        <w:t>:</w:t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tbl>
      <w:tblPr>
        <w:tblW w:w="9639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20"/>
        <w:gridCol w:w="4819"/>
      </w:tblGrid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Készítette/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made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{{preparedBy}}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Ellenőrizte/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controled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{{reviewedBy}}</w:t>
            </w:r>
          </w:p>
        </w:tc>
      </w:tr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{{date}}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{{reviewDate}}</w:t>
            </w:r>
          </w:p>
        </w:tc>
      </w:tr>
      <w:tr>
        <w:trPr/>
        <w:tc>
          <w:tcPr>
            <w:tcW w:w="4820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Header"/>
        <w:tabs>
          <w:tab w:val="clear" w:pos="4153"/>
          <w:tab w:val="clear" w:pos="8306"/>
        </w:tabs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418" w:right="1418" w:gutter="0" w:header="709" w:top="1134" w:footer="519" w:bottom="57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Verdan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>{{manufacturerName}}</w:t>
          </w:r>
        </w:p>
        <w:p>
          <w:pPr>
            <w:pStyle w:val="Head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Verziószám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Version: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{{docVersion}}</w:t>
          </w:r>
        </w:p>
        <w:p>
          <w:pPr>
            <w:pStyle w:val="Header"/>
            <w:ind w:right="-108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Kiadás dátuma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Date effective: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{{effectiveDate}}</w:t>
          </w:r>
        </w:p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4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>{{manufacturerName}}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Verziószám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Version: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{{docVersion}}</w:t>
          </w:r>
        </w:p>
        <w:p>
          <w:pPr>
            <w:pStyle w:val="Header"/>
            <w:ind w:right="-108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Kiadás dátuma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Date effective: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{{effectiveDate}}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708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0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003"/>
      <w:numFmt w:val="bullet"/>
      <w:lvlText w:val="-"/>
      <w:lvlJc w:val="left"/>
      <w:pPr>
        <w:tabs>
          <w:tab w:val="num" w:pos="708"/>
        </w:tabs>
        <w:ind w:left="360" w:hanging="360"/>
      </w:pPr>
      <w:rPr>
        <w:rFonts w:ascii="Liberation Serif" w:hAnsi="Liberation Serif" w:cs="Liberation Serif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8"/>
        </w:tabs>
        <w:ind w:left="7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0"/>
    </w:pPr>
    <w:rPr>
      <w:rFonts w:ascii="Arial" w:hAnsi="Arial" w:cs="Arial"/>
      <w:i/>
      <w:iCs/>
      <w:lang w:val="en-GB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1"/>
    </w:pPr>
    <w:rPr>
      <w:rFonts w:ascii="Arial" w:hAnsi="Arial" w:cs="Arial"/>
      <w:b/>
      <w:u w:val="single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2"/>
    </w:pPr>
    <w:rPr>
      <w:rFonts w:ascii="Arial" w:hAnsi="Arial" w:cs="Arial"/>
      <w:i/>
      <w:sz w:val="22"/>
      <w:lang w:val="en-GB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3"/>
    </w:pPr>
    <w:rPr>
      <w:rFonts w:ascii="Arial" w:hAnsi="Arial" w:cs="Arial"/>
      <w:i/>
      <w:iCs/>
      <w:sz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4"/>
    </w:pPr>
    <w:rPr>
      <w:rFonts w:ascii="Arial" w:hAnsi="Arial" w:cs="Arial"/>
      <w:i/>
      <w:iCs/>
      <w:sz w:val="20"/>
      <w:lang w:val="en-GB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5"/>
    </w:pPr>
    <w:rPr>
      <w:i/>
      <w:iCs/>
      <w:sz w:val="22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  <w:bCs/>
      <w:sz w:val="22"/>
      <w:lang w:val="en-GB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7"/>
    </w:pPr>
    <w:rPr>
      <w:rFonts w:ascii="Arial" w:hAnsi="Arial" w:cs="Arial"/>
      <w:b/>
      <w:bCs/>
      <w:i/>
      <w:sz w:val="20"/>
      <w:lang w:val="en-GB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8"/>
    </w:pPr>
    <w:rPr>
      <w:rFonts w:ascii="Arial" w:hAnsi="Arial" w:cs="Arial"/>
      <w:b/>
      <w:bCs/>
      <w:sz w:val="20"/>
      <w:lang w:val="en-GB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Times New Roman" w:hAnsi="Times New Roman" w:eastAsia="Times New Roman" w:cs="Times New Roman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0z4">
    <w:name w:val="WW8Num10z4"/>
    <w:qFormat/>
    <w:rPr>
      <w:rFonts w:ascii="Courier New" w:hAnsi="Courier New" w:cs="Courier New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Times New Roman" w:hAnsi="Times New Roman" w:eastAsia="Times New Roman" w:cs="Times New Roman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4">
    <w:name w:val="WW8Num12z4"/>
    <w:qFormat/>
    <w:rPr>
      <w:rFonts w:ascii="Courier New" w:hAnsi="Courier New" w:cs="Courier New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Times New Roman" w:hAnsi="Times New Roman" w:eastAsia="Times New Roman" w:cs="Times New Roman"/>
    </w:rPr>
  </w:style>
  <w:style w:type="character" w:styleId="WW8Num16z4">
    <w:name w:val="WW8Num16z4"/>
    <w:qFormat/>
    <w:rPr>
      <w:rFonts w:ascii="Courier New" w:hAnsi="Courier New" w:cs="Courier New"/>
    </w:rPr>
  </w:style>
  <w:style w:type="character" w:styleId="WW8Num16z5">
    <w:name w:val="WW8Num16z5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rFonts w:ascii="Symbol" w:hAnsi="Symbol" w:cs="Symbol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4">
    <w:name w:val="WW8Num18z4"/>
    <w:qFormat/>
    <w:rPr>
      <w:rFonts w:ascii="Courier New" w:hAnsi="Courier New" w:cs="Courier New"/>
    </w:rPr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eastAsia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u w:val="none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Times New Roman" w:hAnsi="Times New Roman" w:eastAsia="Times New Roman" w:cs="Times New Roman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Times New Roman" w:hAnsi="Times New Roman" w:eastAsia="Times New Roman" w:cs="Times New Roman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Times New Roman" w:hAnsi="Times New Roman" w:eastAsia="Times New Roman" w:cs="Times New Roman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hps">
    <w:name w:val="hps"/>
    <w:qFormat/>
    <w:rPr/>
  </w:style>
  <w:style w:type="character" w:styleId="Cmsor2Char">
    <w:name w:val="Címsor 2 Char"/>
    <w:qFormat/>
    <w:rPr>
      <w:rFonts w:ascii="Arial" w:hAnsi="Arial" w:cs="Arial"/>
      <w:b/>
      <w:sz w:val="24"/>
      <w:szCs w:val="24"/>
      <w:u w:val="single"/>
      <w:lang w:val="en-GB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i/>
      <w:iCs/>
      <w:sz w:val="20"/>
      <w:lang w:val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Szvegtrzs2">
    <w:name w:val="Szövegtörzs 2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b/>
      <w:bCs/>
      <w:sz w:val="20"/>
      <w:lang w:val="en-GB"/>
    </w:rPr>
  </w:style>
  <w:style w:type="paragraph" w:styleId="Szvegtrzs3">
    <w:name w:val="Szövegtörzs 3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jc w:val="center"/>
    </w:pPr>
    <w:rPr>
      <w:rFonts w:ascii="Arial" w:hAnsi="Arial" w:cs="Arial"/>
      <w:sz w:val="20"/>
      <w:lang w:val="en-GB"/>
    </w:rPr>
  </w:style>
  <w:style w:type="paragraph" w:styleId="BodyTextIndent">
    <w:name w:val="Body Text Indent"/>
    <w:basedOn w:val="Normal"/>
    <w:pPr>
      <w:ind w:hanging="0" w:left="720" w:right="0"/>
    </w:pPr>
    <w:rPr>
      <w:bCs/>
      <w:i/>
      <w:iCs/>
      <w:sz w:val="20"/>
      <w:lang w:val="hu-HU"/>
    </w:rPr>
  </w:style>
  <w:style w:type="paragraph" w:styleId="Standaardhoofdtekst">
    <w:name w:val="Standaard.hoofdtekst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nl-NL" w:bidi="ar-SA" w:eastAsia="zh-CN"/>
    </w:rPr>
  </w:style>
  <w:style w:type="paragraph" w:styleId="Kop1documentnummernaam">
    <w:name w:val="Kop 1.documentnummer + naam"/>
    <w:basedOn w:val="Standaardhoofdtekst"/>
    <w:next w:val="Standaardhoofdtekst"/>
    <w:qFormat/>
    <w:pPr>
      <w:keepNext w:val="true"/>
      <w:tabs>
        <w:tab w:val="clear" w:pos="708"/>
        <w:tab w:val="left" w:pos="6804" w:leader="none"/>
      </w:tabs>
      <w:outlineLvl w:val="0"/>
    </w:pPr>
    <w:rPr>
      <w:rFonts w:ascii="Arial" w:hAnsi="Arial" w:cs="Arial"/>
      <w:b/>
      <w:sz w:val="28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Szvegtrzsbehzssal3">
    <w:name w:val="Szövegtörzs behúzással 3"/>
    <w:basedOn w:val="Normal"/>
    <w:qFormat/>
    <w:pPr>
      <w:spacing w:before="0" w:after="120"/>
      <w:ind w:hanging="0" w:left="283" w:right="0"/>
    </w:pPr>
    <w:rPr>
      <w:sz w:val="16"/>
      <w:szCs w:val="16"/>
    </w:rPr>
  </w:style>
  <w:style w:type="paragraph" w:styleId="Nincstrkz">
    <w:name w:val="Nincs térköz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