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Non-HIV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Pre-HIV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42.5 (16.6)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37.6 (14.7)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Baltimore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47.0 (30.9%)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(18.4%)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Chicago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38.0 (25.0%)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 (29.9%)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Los Angeles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(27.0%)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 (32.2%)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Pittsburgh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 (17.1%)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144.0 (95.4%)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82.0 (94.3%)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(33.1%)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 (43.0%)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Postgrad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 (38.4%)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34.0 (39.5%)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Undergrad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43.0 (28.5%)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Drinking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Heavy drinking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(50.3%)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 (63.1%)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heavy drinking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74.0 (49.7%)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 (36.9%)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Current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56.0 (37.8%)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44.0 (51.8%)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Former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 (19.6%)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(16.5%)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63.0 (42.6%)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 (31.8%)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Antibiotic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61.0 (40.1%)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 (60.9%)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substance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112.0 (75.2%)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78.0 (91.8%)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Number of receptive anal intercourse partners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59.0 (39.3%)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40.0 (26.7%)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43.0 (28.7%)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(47.1%)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 (29.9%)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(SD);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Wilcoxon rank sum test; Fisher's exact test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2025-09-18T15:31:25Z</dcterms:created>
  <dcterms:modified xsi:type="dcterms:W3CDTF">2025-09-18T15:31:25Z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