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A2E0C" w14:textId="77777777" w:rsidR="000F18E8" w:rsidRDefault="00000000">
      <w:pPr>
        <w:spacing w:after="0" w:line="360" w:lineRule="auto"/>
      </w:pPr>
      <w:r>
        <w:rPr>
          <w:rFonts w:ascii="inter" w:eastAsia="inter" w:hAnsi="inter" w:cs="inter"/>
          <w:noProof/>
          <w:color w:val="000000"/>
        </w:rPr>
        <w:drawing>
          <wp:inline distT="0" distB="0" distL="0" distR="0" wp14:anchorId="3BA2DFBD" wp14:editId="726E3770">
            <wp:extent cx="1143000" cy="287909"/>
            <wp:effectExtent l="0" t="0" r="0" b="0"/>
            <wp:docPr id="1" name="image-064276d33b056dc2514886ea51408d0135f44ea6.png"/>
            <wp:cNvGraphicFramePr/>
            <a:graphic xmlns:a="http://schemas.openxmlformats.org/drawingml/2006/main">
              <a:graphicData uri="http://schemas.openxmlformats.org/drawingml/2006/picture">
                <pic:pic xmlns:pic="http://schemas.openxmlformats.org/drawingml/2006/picture">
                  <pic:nvPicPr>
                    <pic:cNvPr id="1" name="image-064276d33b056dc2514886ea51408d0135f44ea6.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3A854978" w14:textId="77777777" w:rsidR="000F18E8" w:rsidRDefault="00000000">
      <w:pPr>
        <w:spacing w:before="157" w:after="157" w:line="270" w:lineRule="auto"/>
      </w:pPr>
      <w:r>
        <w:rPr>
          <w:rFonts w:ascii="inter" w:eastAsia="inter" w:hAnsi="inter" w:cs="inter"/>
          <w:b/>
          <w:color w:val="000000"/>
          <w:sz w:val="39"/>
        </w:rPr>
        <w:t>Project 1 - Week 1 - Labs Mode Document</w:t>
      </w:r>
    </w:p>
    <w:p w14:paraId="26604288" w14:textId="77777777" w:rsidR="000F18E8" w:rsidRDefault="00000000">
      <w:pPr>
        <w:spacing w:before="315" w:after="105" w:line="360" w:lineRule="auto"/>
        <w:ind w:left="-30"/>
      </w:pPr>
      <w:r>
        <w:rPr>
          <w:rFonts w:ascii="inter" w:eastAsia="inter" w:hAnsi="inter" w:cs="inter"/>
          <w:b/>
          <w:color w:val="000000"/>
          <w:sz w:val="24"/>
        </w:rPr>
        <w:t>Executive Summary</w:t>
      </w:r>
    </w:p>
    <w:p w14:paraId="55E52F40" w14:textId="77777777" w:rsidR="000F18E8" w:rsidRDefault="00000000">
      <w:pPr>
        <w:spacing w:after="210" w:line="360" w:lineRule="auto"/>
      </w:pPr>
      <w:r>
        <w:rPr>
          <w:rFonts w:ascii="inter" w:eastAsia="inter" w:hAnsi="inter" w:cs="inter"/>
          <w:color w:val="000000"/>
        </w:rPr>
        <w:t>Your startup funding analysis project demonstrates exceptional analytical methodology through a systematic data-driven approach to SaaS company workforce analysis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project showcases strategic decision-making when faced with data quality constraints, pivoting from initial funding analysis to employee growth analysis based on rigorous data quality assessment results</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4528DE7" w14:textId="77777777" w:rsidR="000F18E8" w:rsidRDefault="00000000">
      <w:pPr>
        <w:spacing w:before="315" w:after="105" w:line="360" w:lineRule="auto"/>
        <w:ind w:left="-30"/>
      </w:pPr>
      <w:r>
        <w:rPr>
          <w:rFonts w:ascii="inter" w:eastAsia="inter" w:hAnsi="inter" w:cs="inter"/>
          <w:b/>
          <w:color w:val="000000"/>
          <w:sz w:val="24"/>
        </w:rPr>
        <w:t>Project Foundation and Technical Architecture</w:t>
      </w:r>
    </w:p>
    <w:p w14:paraId="7E1AC715" w14:textId="77777777" w:rsidR="000F18E8" w:rsidRDefault="00000000">
      <w:pPr>
        <w:spacing w:before="315" w:after="105" w:line="360" w:lineRule="auto"/>
        <w:ind w:left="-30"/>
      </w:pPr>
      <w:r>
        <w:rPr>
          <w:rFonts w:ascii="inter" w:eastAsia="inter" w:hAnsi="inter" w:cs="inter"/>
          <w:b/>
          <w:color w:val="000000"/>
          <w:sz w:val="24"/>
        </w:rPr>
        <w:t>Database Infrastructure Setup</w:t>
      </w:r>
    </w:p>
    <w:p w14:paraId="64546D9B" w14:textId="77777777" w:rsidR="000F18E8" w:rsidRDefault="00000000">
      <w:pPr>
        <w:spacing w:after="210" w:line="360" w:lineRule="auto"/>
      </w:pPr>
      <w:r>
        <w:rPr>
          <w:rFonts w:ascii="inter" w:eastAsia="inter" w:hAnsi="inter" w:cs="inter"/>
          <w:color w:val="000000"/>
        </w:rPr>
        <w:t>Your PostgreSQL installation and configuration demonstrates professional database management competency</w:t>
      </w:r>
      <w:bookmarkStart w:id="2" w:name="fnref1:2"/>
      <w:bookmarkEnd w:id="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xml:space="preserve">. The systematic approach to authentication setup, port configuration (5432), and performance tuning through </w:t>
      </w:r>
      <w:proofErr w:type="spellStart"/>
      <w:r>
        <w:rPr>
          <w:rFonts w:ascii="inter" w:eastAsia="inter" w:hAnsi="inter" w:cs="inter"/>
          <w:color w:val="000000"/>
        </w:rPr>
        <w:t>sharedbuffers</w:t>
      </w:r>
      <w:proofErr w:type="spellEnd"/>
      <w:r>
        <w:rPr>
          <w:rFonts w:ascii="inter" w:eastAsia="inter" w:hAnsi="inter" w:cs="inter"/>
          <w:color w:val="000000"/>
        </w:rPr>
        <w:t xml:space="preserve"> and </w:t>
      </w:r>
      <w:proofErr w:type="spellStart"/>
      <w:r>
        <w:rPr>
          <w:rFonts w:ascii="inter" w:eastAsia="inter" w:hAnsi="inter" w:cs="inter"/>
          <w:color w:val="000000"/>
        </w:rPr>
        <w:t>workmem</w:t>
      </w:r>
      <w:proofErr w:type="spellEnd"/>
      <w:r>
        <w:rPr>
          <w:rFonts w:ascii="inter" w:eastAsia="inter" w:hAnsi="inter" w:cs="inter"/>
          <w:color w:val="000000"/>
        </w:rPr>
        <w:t xml:space="preserve"> optimization reflects industry-standard database administration practices that hiring managers value in data analyst candidates</w:t>
      </w:r>
      <w:bookmarkStart w:id="3" w:name="fnref1:3"/>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15FDD29D" w14:textId="77777777" w:rsidR="000F18E8" w:rsidRDefault="00000000">
      <w:pPr>
        <w:spacing w:before="315" w:after="105" w:line="360" w:lineRule="auto"/>
        <w:ind w:left="-30"/>
      </w:pPr>
      <w:r>
        <w:rPr>
          <w:rFonts w:ascii="inter" w:eastAsia="inter" w:hAnsi="inter" w:cs="inter"/>
          <w:b/>
          <w:color w:val="000000"/>
          <w:sz w:val="24"/>
        </w:rPr>
        <w:t>Data Architecture Design</w:t>
      </w:r>
    </w:p>
    <w:p w14:paraId="45859BD0" w14:textId="77777777" w:rsidR="000F18E8" w:rsidRDefault="00000000">
      <w:pPr>
        <w:spacing w:after="210" w:line="360" w:lineRule="auto"/>
      </w:pPr>
      <w:r>
        <w:rPr>
          <w:rFonts w:ascii="inter" w:eastAsia="inter" w:hAnsi="inter" w:cs="inter"/>
          <w:color w:val="000000"/>
        </w:rPr>
        <w:t>The table structure design showcases strategic data type selection and normalization decisions</w:t>
      </w:r>
      <w:bookmarkStart w:id="4" w:name="fnref1:4"/>
      <w:bookmarkEnd w:id="4"/>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Your choice of VARCHAR for names, TEXT for URLs, INTEGER for counts, and DECIMAL for growth metrics demonstrates understanding of optimal data storage patterns</w:t>
      </w:r>
      <w:bookmarkStart w:id="5" w:name="fnref1:5"/>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minimal normalization approach with NOT NULL constraints on key fields reflects practical database design for analytical workloads</w:t>
      </w:r>
      <w:bookmarkStart w:id="6" w:name="fnref1:6"/>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31B75F0B" w14:textId="77777777" w:rsidR="000F18E8" w:rsidRDefault="00000000">
      <w:pPr>
        <w:spacing w:before="315" w:after="105" w:line="360" w:lineRule="auto"/>
        <w:ind w:left="-30"/>
      </w:pPr>
      <w:r>
        <w:rPr>
          <w:rFonts w:ascii="inter" w:eastAsia="inter" w:hAnsi="inter" w:cs="inter"/>
          <w:b/>
          <w:color w:val="000000"/>
          <w:sz w:val="24"/>
        </w:rPr>
        <w:t>Strategic Data Quality Assessment</w:t>
      </w:r>
    </w:p>
    <w:p w14:paraId="62C5F2B9" w14:textId="77777777" w:rsidR="000F18E8" w:rsidRDefault="00000000">
      <w:pPr>
        <w:spacing w:before="315" w:after="105" w:line="360" w:lineRule="auto"/>
        <w:ind w:left="-30"/>
      </w:pPr>
      <w:r>
        <w:rPr>
          <w:rFonts w:ascii="inter" w:eastAsia="inter" w:hAnsi="inter" w:cs="inter"/>
          <w:b/>
          <w:color w:val="000000"/>
          <w:sz w:val="24"/>
        </w:rPr>
        <w:t>Comprehensive Quality Analysis</w:t>
      </w:r>
    </w:p>
    <w:p w14:paraId="5EFD9938" w14:textId="77777777" w:rsidR="000F18E8" w:rsidRDefault="00000000">
      <w:pPr>
        <w:spacing w:after="210" w:line="360" w:lineRule="auto"/>
      </w:pPr>
      <w:r>
        <w:rPr>
          <w:rFonts w:ascii="inter" w:eastAsia="inter" w:hAnsi="inter" w:cs="inter"/>
          <w:color w:val="000000"/>
        </w:rPr>
        <w:t>Your systematic data quality assessment revealed critical insights that informed strategic analytical pivoting</w:t>
      </w:r>
      <w:bookmarkStart w:id="7" w:name="fnref1:7"/>
      <w:bookmarkEnd w:id="7"/>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41EBD668" w14:textId="77777777" w:rsidR="000F18E8" w:rsidRDefault="00000000">
      <w:pPr>
        <w:numPr>
          <w:ilvl w:val="0"/>
          <w:numId w:val="1"/>
        </w:numPr>
        <w:spacing w:before="105" w:after="105" w:line="360" w:lineRule="auto"/>
      </w:pPr>
      <w:r>
        <w:rPr>
          <w:rFonts w:ascii="inter" w:eastAsia="inter" w:hAnsi="inter" w:cs="inter"/>
          <w:b/>
          <w:color w:val="000000"/>
        </w:rPr>
        <w:t>Company names</w:t>
      </w:r>
      <w:r>
        <w:rPr>
          <w:rFonts w:ascii="inter" w:eastAsia="inter" w:hAnsi="inter" w:cs="inter"/>
          <w:color w:val="000000"/>
        </w:rPr>
        <w:t>: 100% complete - providing solid foundation for all analyses</w:t>
      </w:r>
    </w:p>
    <w:p w14:paraId="0F8D1E30" w14:textId="77777777" w:rsidR="000F18E8" w:rsidRDefault="00000000">
      <w:pPr>
        <w:numPr>
          <w:ilvl w:val="0"/>
          <w:numId w:val="1"/>
        </w:numPr>
        <w:spacing w:before="105" w:after="105" w:line="360" w:lineRule="auto"/>
      </w:pPr>
      <w:r>
        <w:rPr>
          <w:rFonts w:ascii="inter" w:eastAsia="inter" w:hAnsi="inter" w:cs="inter"/>
          <w:b/>
          <w:color w:val="000000"/>
        </w:rPr>
        <w:t>Employees</w:t>
      </w:r>
      <w:r>
        <w:rPr>
          <w:rFonts w:ascii="inter" w:eastAsia="inter" w:hAnsi="inter" w:cs="inter"/>
          <w:color w:val="000000"/>
        </w:rPr>
        <w:t>: 99.5% complete - enabling robust workforce analysis</w:t>
      </w:r>
    </w:p>
    <w:p w14:paraId="33CBD913" w14:textId="77777777" w:rsidR="000F18E8" w:rsidRDefault="00000000">
      <w:pPr>
        <w:numPr>
          <w:ilvl w:val="0"/>
          <w:numId w:val="1"/>
        </w:numPr>
        <w:spacing w:before="105" w:after="105" w:line="360" w:lineRule="auto"/>
      </w:pPr>
      <w:r>
        <w:rPr>
          <w:rFonts w:ascii="inter" w:eastAsia="inter" w:hAnsi="inter" w:cs="inter"/>
          <w:b/>
          <w:color w:val="000000"/>
        </w:rPr>
        <w:t>Growth</w:t>
      </w:r>
      <w:r>
        <w:rPr>
          <w:rFonts w:ascii="inter" w:eastAsia="inter" w:hAnsi="inter" w:cs="inter"/>
          <w:color w:val="000000"/>
        </w:rPr>
        <w:t>: 98.8% complete - supporting reliable growth pattern identification</w:t>
      </w:r>
    </w:p>
    <w:p w14:paraId="2E538C3D" w14:textId="77777777" w:rsidR="000F18E8" w:rsidRDefault="00000000">
      <w:pPr>
        <w:numPr>
          <w:ilvl w:val="0"/>
          <w:numId w:val="1"/>
        </w:numPr>
        <w:spacing w:before="105" w:after="105" w:line="360" w:lineRule="auto"/>
      </w:pPr>
      <w:r>
        <w:rPr>
          <w:rFonts w:ascii="inter" w:eastAsia="inter" w:hAnsi="inter" w:cs="inter"/>
          <w:b/>
          <w:color w:val="000000"/>
        </w:rPr>
        <w:lastRenderedPageBreak/>
        <w:t>Funding</w:t>
      </w:r>
      <w:r>
        <w:rPr>
          <w:rFonts w:ascii="inter" w:eastAsia="inter" w:hAnsi="inter" w:cs="inter"/>
          <w:color w:val="000000"/>
        </w:rPr>
        <w:t>: 32.9% complete - necessitating strategic analytical pivot</w:t>
      </w:r>
    </w:p>
    <w:p w14:paraId="5637CDEF" w14:textId="77777777" w:rsidR="000F18E8" w:rsidRDefault="00000000">
      <w:pPr>
        <w:spacing w:before="315" w:after="105" w:line="360" w:lineRule="auto"/>
        <w:ind w:left="-30"/>
      </w:pPr>
      <w:r>
        <w:rPr>
          <w:rFonts w:ascii="inter" w:eastAsia="inter" w:hAnsi="inter" w:cs="inter"/>
          <w:b/>
          <w:color w:val="000000"/>
          <w:sz w:val="24"/>
        </w:rPr>
        <w:t>Professional Decision-Making Under Data Constraints</w:t>
      </w:r>
    </w:p>
    <w:p w14:paraId="35E4387F" w14:textId="77777777" w:rsidR="000F18E8" w:rsidRDefault="00000000">
      <w:pPr>
        <w:spacing w:after="210" w:line="360" w:lineRule="auto"/>
      </w:pPr>
      <w:r>
        <w:rPr>
          <w:rFonts w:ascii="inter" w:eastAsia="inter" w:hAnsi="inter" w:cs="inter"/>
          <w:color w:val="000000"/>
        </w:rPr>
        <w:t>The strategic pivot from funding analysis to employee growth analysis demonstrates exactly the kind of professional analytical judgment that distinguishes strong data analyst candidates</w:t>
      </w:r>
      <w:bookmarkStart w:id="8" w:name="fnref1:8"/>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Rather than proceeding with compromised funding data (32.9% complete), you strategically shifted focus to leverage high-quality employee (99.5%) and growth (98.8%) variables</w:t>
      </w:r>
      <w:bookmarkStart w:id="9" w:name="fnref1:9"/>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0F581E7B" w14:textId="77777777" w:rsidR="000F18E8" w:rsidRDefault="00000000">
      <w:pPr>
        <w:spacing w:before="315" w:after="105" w:line="360" w:lineRule="auto"/>
        <w:ind w:left="-30"/>
      </w:pPr>
      <w:r>
        <w:rPr>
          <w:rFonts w:ascii="inter" w:eastAsia="inter" w:hAnsi="inter" w:cs="inter"/>
          <w:b/>
          <w:color w:val="000000"/>
          <w:sz w:val="24"/>
        </w:rPr>
        <w:t>Business Impact Question Formulation</w:t>
      </w:r>
    </w:p>
    <w:p w14:paraId="42960CF4" w14:textId="77777777" w:rsidR="000F18E8" w:rsidRDefault="00000000">
      <w:pPr>
        <w:spacing w:before="315" w:after="105" w:line="360" w:lineRule="auto"/>
        <w:ind w:left="-30"/>
      </w:pPr>
      <w:r>
        <w:rPr>
          <w:rFonts w:ascii="inter" w:eastAsia="inter" w:hAnsi="inter" w:cs="inter"/>
          <w:b/>
          <w:color w:val="000000"/>
          <w:sz w:val="24"/>
        </w:rPr>
        <w:t>Strategic Question Development</w:t>
      </w:r>
    </w:p>
    <w:p w14:paraId="117BD64B" w14:textId="77777777" w:rsidR="000F18E8" w:rsidRDefault="00000000">
      <w:pPr>
        <w:spacing w:after="210" w:line="360" w:lineRule="auto"/>
      </w:pPr>
      <w:r>
        <w:rPr>
          <w:rFonts w:ascii="inter" w:eastAsia="inter" w:hAnsi="inter" w:cs="inter"/>
          <w:color w:val="000000"/>
        </w:rPr>
        <w:t>Your four core business impact questions demonstrate sophisticated analytical thinking and stakeholder awareness</w:t>
      </w:r>
      <w:bookmarkStart w:id="10" w:name="fnref1:10"/>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6D8B311" w14:textId="77777777" w:rsidR="000F18E8" w:rsidRDefault="00000000">
      <w:pPr>
        <w:numPr>
          <w:ilvl w:val="0"/>
          <w:numId w:val="2"/>
        </w:numPr>
        <w:spacing w:after="210" w:line="360" w:lineRule="auto"/>
      </w:pPr>
      <w:r>
        <w:rPr>
          <w:rFonts w:ascii="inter" w:eastAsia="inter" w:hAnsi="inter" w:cs="inter"/>
          <w:b/>
          <w:color w:val="000000"/>
        </w:rPr>
        <w:t>SaaS Workforce Scaling Patterns</w:t>
      </w:r>
      <w:r>
        <w:rPr>
          <w:rFonts w:ascii="inter" w:eastAsia="inter" w:hAnsi="inter" w:cs="inter"/>
          <w:color w:val="000000"/>
        </w:rPr>
        <w:t xml:space="preserve"> - How do California SaaS companies scale their workforce across different growth stages, and what employee count thresholds define each scaling phase?</w:t>
      </w:r>
    </w:p>
    <w:p w14:paraId="525A7961" w14:textId="77777777" w:rsidR="000F18E8" w:rsidRDefault="00000000">
      <w:pPr>
        <w:numPr>
          <w:ilvl w:val="0"/>
          <w:numId w:val="2"/>
        </w:numPr>
        <w:spacing w:after="210" w:line="360" w:lineRule="auto"/>
      </w:pPr>
      <w:r>
        <w:rPr>
          <w:rFonts w:ascii="inter" w:eastAsia="inter" w:hAnsi="inter" w:cs="inter"/>
          <w:b/>
          <w:color w:val="000000"/>
        </w:rPr>
        <w:t>Employee Growth by Company Maturity</w:t>
      </w:r>
      <w:r>
        <w:rPr>
          <w:rFonts w:ascii="inter" w:eastAsia="inter" w:hAnsi="inter" w:cs="inter"/>
          <w:color w:val="000000"/>
        </w:rPr>
        <w:t xml:space="preserve"> - What are the distinct employee growth patterns between early-stage SaaS companies (founded 2020+) versus established companies (founded pre-2015)?</w:t>
      </w:r>
    </w:p>
    <w:p w14:paraId="73EF4EC9" w14:textId="77777777" w:rsidR="000F18E8" w:rsidRDefault="00000000">
      <w:pPr>
        <w:numPr>
          <w:ilvl w:val="0"/>
          <w:numId w:val="2"/>
        </w:numPr>
        <w:spacing w:after="210" w:line="360" w:lineRule="auto"/>
      </w:pPr>
      <w:r>
        <w:rPr>
          <w:rFonts w:ascii="inter" w:eastAsia="inter" w:hAnsi="inter" w:cs="inter"/>
          <w:b/>
          <w:color w:val="000000"/>
        </w:rPr>
        <w:t>Geographic Impact Analysis</w:t>
      </w:r>
      <w:r>
        <w:rPr>
          <w:rFonts w:ascii="inter" w:eastAsia="inter" w:hAnsi="inter" w:cs="inter"/>
          <w:color w:val="000000"/>
        </w:rPr>
        <w:t xml:space="preserve"> - How does location within California's major tech hubs influence employee growth rates and workforce expansion strategies for SaaS startups?</w:t>
      </w:r>
    </w:p>
    <w:p w14:paraId="3EAE58F9" w14:textId="77777777" w:rsidR="000F18E8" w:rsidRDefault="00000000">
      <w:pPr>
        <w:numPr>
          <w:ilvl w:val="0"/>
          <w:numId w:val="2"/>
        </w:numPr>
        <w:spacing w:after="210" w:line="360" w:lineRule="auto"/>
      </w:pPr>
      <w:r>
        <w:rPr>
          <w:rFonts w:ascii="inter" w:eastAsia="inter" w:hAnsi="inter" w:cs="inter"/>
          <w:b/>
          <w:color w:val="000000"/>
        </w:rPr>
        <w:t>Growth Stage Performance Classification</w:t>
      </w:r>
      <w:r>
        <w:rPr>
          <w:rFonts w:ascii="inter" w:eastAsia="inter" w:hAnsi="inter" w:cs="inter"/>
          <w:color w:val="000000"/>
        </w:rPr>
        <w:t xml:space="preserve"> - What employee growth rate ranges characterize high-performing SaaS companies versus struggling organizations?</w:t>
      </w:r>
    </w:p>
    <w:p w14:paraId="41982E23" w14:textId="77777777" w:rsidR="000F18E8" w:rsidRDefault="00000000">
      <w:pPr>
        <w:spacing w:before="315" w:after="105" w:line="360" w:lineRule="auto"/>
        <w:ind w:left="-30"/>
      </w:pPr>
      <w:r>
        <w:rPr>
          <w:rFonts w:ascii="inter" w:eastAsia="inter" w:hAnsi="inter" w:cs="inter"/>
          <w:b/>
          <w:color w:val="000000"/>
          <w:sz w:val="24"/>
        </w:rPr>
        <w:t>Stakeholder Value Proposition</w:t>
      </w:r>
    </w:p>
    <w:p w14:paraId="062EBADA" w14:textId="77777777" w:rsidR="000F18E8" w:rsidRDefault="00000000">
      <w:pPr>
        <w:spacing w:after="210" w:line="360" w:lineRule="auto"/>
      </w:pPr>
      <w:r>
        <w:rPr>
          <w:rFonts w:ascii="inter" w:eastAsia="inter" w:hAnsi="inter" w:cs="inter"/>
          <w:color w:val="000000"/>
        </w:rPr>
        <w:t>Each question addresses specific business needs for key stakeholders</w:t>
      </w:r>
      <w:bookmarkStart w:id="11" w:name="fnref1:11"/>
      <w:bookmarkEnd w:id="1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49C2F145" w14:textId="77777777" w:rsidR="000F18E8" w:rsidRDefault="00000000">
      <w:pPr>
        <w:numPr>
          <w:ilvl w:val="0"/>
          <w:numId w:val="3"/>
        </w:numPr>
        <w:spacing w:before="105" w:after="105" w:line="360" w:lineRule="auto"/>
      </w:pPr>
      <w:r>
        <w:rPr>
          <w:rFonts w:ascii="inter" w:eastAsia="inter" w:hAnsi="inter" w:cs="inter"/>
          <w:b/>
          <w:color w:val="000000"/>
        </w:rPr>
        <w:t>Investors</w:t>
      </w:r>
      <w:r>
        <w:rPr>
          <w:rFonts w:ascii="inter" w:eastAsia="inter" w:hAnsi="inter" w:cs="inter"/>
          <w:color w:val="000000"/>
        </w:rPr>
        <w:t>: Performance benchmarks and regional market insights for portfolio evaluation</w:t>
      </w:r>
    </w:p>
    <w:p w14:paraId="56AEC71F" w14:textId="77777777" w:rsidR="000F18E8" w:rsidRDefault="00000000">
      <w:pPr>
        <w:numPr>
          <w:ilvl w:val="0"/>
          <w:numId w:val="3"/>
        </w:numPr>
        <w:spacing w:before="105" w:after="105" w:line="360" w:lineRule="auto"/>
      </w:pPr>
      <w:r>
        <w:rPr>
          <w:rFonts w:ascii="inter" w:eastAsia="inter" w:hAnsi="inter" w:cs="inter"/>
          <w:b/>
          <w:color w:val="000000"/>
        </w:rPr>
        <w:t>Founders</w:t>
      </w:r>
      <w:r>
        <w:rPr>
          <w:rFonts w:ascii="inter" w:eastAsia="inter" w:hAnsi="inter" w:cs="inter"/>
          <w:color w:val="000000"/>
        </w:rPr>
        <w:t>: Optimal scaling strategies and location decisions for operational planning</w:t>
      </w:r>
    </w:p>
    <w:p w14:paraId="0A19CF0D" w14:textId="77777777" w:rsidR="000F18E8" w:rsidRDefault="00000000">
      <w:pPr>
        <w:numPr>
          <w:ilvl w:val="0"/>
          <w:numId w:val="3"/>
        </w:numPr>
        <w:spacing w:before="105" w:after="105" w:line="360" w:lineRule="auto"/>
      </w:pPr>
      <w:r>
        <w:rPr>
          <w:rFonts w:ascii="inter" w:eastAsia="inter" w:hAnsi="inter" w:cs="inter"/>
          <w:b/>
          <w:color w:val="000000"/>
        </w:rPr>
        <w:t>Executives</w:t>
      </w:r>
      <w:r>
        <w:rPr>
          <w:rFonts w:ascii="inter" w:eastAsia="inter" w:hAnsi="inter" w:cs="inter"/>
          <w:color w:val="000000"/>
        </w:rPr>
        <w:t>: Data-driven growth planning and hiring strategy frameworks</w:t>
      </w:r>
    </w:p>
    <w:p w14:paraId="1B28D096" w14:textId="77777777" w:rsidR="000F18E8" w:rsidRDefault="00000000">
      <w:pPr>
        <w:spacing w:before="315" w:after="105" w:line="360" w:lineRule="auto"/>
        <w:ind w:left="-30"/>
      </w:pPr>
      <w:r>
        <w:rPr>
          <w:rFonts w:ascii="inter" w:eastAsia="inter" w:hAnsi="inter" w:cs="inter"/>
          <w:b/>
          <w:color w:val="000000"/>
          <w:sz w:val="24"/>
        </w:rPr>
        <w:t>Technical Competency Demonstration</w:t>
      </w:r>
    </w:p>
    <w:p w14:paraId="07D6BA13" w14:textId="77777777" w:rsidR="000F18E8" w:rsidRDefault="00000000">
      <w:pPr>
        <w:spacing w:before="315" w:after="105" w:line="360" w:lineRule="auto"/>
        <w:ind w:left="-30"/>
      </w:pPr>
      <w:r>
        <w:rPr>
          <w:rFonts w:ascii="inter" w:eastAsia="inter" w:hAnsi="inter" w:cs="inter"/>
          <w:b/>
          <w:color w:val="000000"/>
          <w:sz w:val="24"/>
        </w:rPr>
        <w:lastRenderedPageBreak/>
        <w:t>Data Processing Methodology</w:t>
      </w:r>
    </w:p>
    <w:p w14:paraId="53AD2B7D" w14:textId="77777777" w:rsidR="000F18E8" w:rsidRDefault="00000000">
      <w:pPr>
        <w:spacing w:after="210" w:line="360" w:lineRule="auto"/>
      </w:pPr>
      <w:r>
        <w:rPr>
          <w:rFonts w:ascii="inter" w:eastAsia="inter" w:hAnsi="inter" w:cs="inter"/>
          <w:color w:val="000000"/>
        </w:rPr>
        <w:t>Your systematic approach to data exploration using Google Sheets demonstrates professional data handling capabilities</w:t>
      </w:r>
      <w:bookmarkStart w:id="12" w:name="fnref1:12"/>
      <w:bookmarkEnd w:id="1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identification of inconsistencies in company names and locations, along with strategic handling of 67 missing funding records and 20 missing founded dates, showcases the data quality assessment skills essential for analytical roles</w:t>
      </w:r>
      <w:bookmarkStart w:id="13" w:name="fnref1:13"/>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356A4A47" w14:textId="77777777" w:rsidR="000F18E8" w:rsidRDefault="00000000">
      <w:pPr>
        <w:spacing w:before="315" w:after="105" w:line="360" w:lineRule="auto"/>
        <w:ind w:left="-30"/>
      </w:pPr>
      <w:r>
        <w:rPr>
          <w:rFonts w:ascii="inter" w:eastAsia="inter" w:hAnsi="inter" w:cs="inter"/>
          <w:b/>
          <w:color w:val="000000"/>
          <w:sz w:val="24"/>
        </w:rPr>
        <w:t>Quality Assessment Implementation</w:t>
      </w:r>
    </w:p>
    <w:p w14:paraId="49B066E6" w14:textId="77777777" w:rsidR="000F18E8" w:rsidRDefault="00000000">
      <w:pPr>
        <w:spacing w:after="210" w:line="360" w:lineRule="auto"/>
      </w:pPr>
      <w:r>
        <w:rPr>
          <w:rFonts w:ascii="inter" w:eastAsia="inter" w:hAnsi="inter" w:cs="inter"/>
          <w:color w:val="000000"/>
        </w:rPr>
        <w:t xml:space="preserve">The implementation of data validation rules and conditional formatting on founded and </w:t>
      </w:r>
      <w:proofErr w:type="spellStart"/>
      <w:r>
        <w:rPr>
          <w:rFonts w:ascii="inter" w:eastAsia="inter" w:hAnsi="inter" w:cs="inter"/>
          <w:color w:val="000000"/>
        </w:rPr>
        <w:t>totalfunding</w:t>
      </w:r>
      <w:proofErr w:type="spellEnd"/>
      <w:r>
        <w:rPr>
          <w:rFonts w:ascii="inter" w:eastAsia="inter" w:hAnsi="inter" w:cs="inter"/>
          <w:color w:val="000000"/>
        </w:rPr>
        <w:t xml:space="preserve"> columns reflects professional data quality management practices</w:t>
      </w:r>
      <w:bookmarkStart w:id="14" w:name="fnref1:14"/>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Your systematic approach to calculating completeness percentages using table-based formulas demonstrates technical proficiency with analytical tools</w:t>
      </w:r>
      <w:bookmarkStart w:id="15" w:name="fnref1:15"/>
      <w:bookmarkEnd w:id="15"/>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0F686EFB" w14:textId="77777777" w:rsidR="000F18E8" w:rsidRDefault="00000000">
      <w:pPr>
        <w:spacing w:before="315" w:after="105" w:line="360" w:lineRule="auto"/>
        <w:ind w:left="-30"/>
      </w:pPr>
      <w:r>
        <w:rPr>
          <w:rFonts w:ascii="inter" w:eastAsia="inter" w:hAnsi="inter" w:cs="inter"/>
          <w:b/>
          <w:color w:val="000000"/>
          <w:sz w:val="24"/>
        </w:rPr>
        <w:t>Strategic Analytical Pivot Documentation</w:t>
      </w:r>
    </w:p>
    <w:p w14:paraId="34765C77" w14:textId="77777777" w:rsidR="000F18E8" w:rsidRDefault="00000000">
      <w:pPr>
        <w:spacing w:before="315" w:after="105" w:line="360" w:lineRule="auto"/>
        <w:ind w:left="-30"/>
      </w:pPr>
      <w:r>
        <w:rPr>
          <w:rFonts w:ascii="inter" w:eastAsia="inter" w:hAnsi="inter" w:cs="inter"/>
          <w:b/>
          <w:color w:val="000000"/>
          <w:sz w:val="24"/>
        </w:rPr>
        <w:t>Data-Driven Decision Making</w:t>
      </w:r>
    </w:p>
    <w:p w14:paraId="3BC60D6F" w14:textId="77777777" w:rsidR="000F18E8" w:rsidRDefault="00000000">
      <w:pPr>
        <w:spacing w:after="210" w:line="360" w:lineRule="auto"/>
      </w:pPr>
      <w:r>
        <w:rPr>
          <w:rFonts w:ascii="inter" w:eastAsia="inter" w:hAnsi="inter" w:cs="inter"/>
          <w:color w:val="000000"/>
        </w:rPr>
        <w:t>Your pivot decision represents exemplary analytical methodology when faced with data quality constraints</w:t>
      </w:r>
      <w:bookmarkStart w:id="16" w:name="fnref1:16"/>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systematic evaluation of variable completeness rates and strategic shift to leverage high-quality variables demonstrates the professional judgment that hiring managers seek in data analyst candidates</w:t>
      </w:r>
      <w:bookmarkStart w:id="17" w:name="fnref1:17"/>
      <w:bookmarkEnd w:id="17"/>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37FE2AC0" w14:textId="77777777" w:rsidR="000F18E8" w:rsidRDefault="00000000">
      <w:pPr>
        <w:spacing w:before="315" w:after="105" w:line="360" w:lineRule="auto"/>
        <w:ind w:left="-30"/>
      </w:pPr>
      <w:r>
        <w:rPr>
          <w:rFonts w:ascii="inter" w:eastAsia="inter" w:hAnsi="inter" w:cs="inter"/>
          <w:b/>
          <w:color w:val="000000"/>
          <w:sz w:val="24"/>
        </w:rPr>
        <w:t>Business Impact Optimization</w:t>
      </w:r>
    </w:p>
    <w:p w14:paraId="2CBACFE8" w14:textId="77777777" w:rsidR="000F18E8" w:rsidRDefault="00000000">
      <w:pPr>
        <w:spacing w:after="210" w:line="360" w:lineRule="auto"/>
      </w:pPr>
      <w:r>
        <w:rPr>
          <w:rFonts w:ascii="inter" w:eastAsia="inter" w:hAnsi="inter" w:cs="inter"/>
          <w:color w:val="000000"/>
        </w:rPr>
        <w:t>By focusing analytical resources on variables with superior data quality (employee and growth metrics), you maximized potential business impact while maintaining analytical rigor</w:t>
      </w:r>
      <w:bookmarkStart w:id="18" w:name="fnref1:18"/>
      <w:bookmarkEnd w:id="18"/>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This approach reflects understanding of how data quality directly influences analytical reliability and business value</w:t>
      </w:r>
      <w:bookmarkStart w:id="19" w:name="fnref1:19"/>
      <w:bookmarkEnd w:id="19"/>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15C6CE0D" w14:textId="77777777" w:rsidR="000F18E8" w:rsidRDefault="00000000">
      <w:pPr>
        <w:spacing w:before="315" w:after="105" w:line="360" w:lineRule="auto"/>
        <w:ind w:left="-30"/>
      </w:pPr>
      <w:r>
        <w:rPr>
          <w:rFonts w:ascii="inter" w:eastAsia="inter" w:hAnsi="inter" w:cs="inter"/>
          <w:b/>
          <w:color w:val="000000"/>
          <w:sz w:val="24"/>
        </w:rPr>
        <w:t>Professional Portfolio Implications</w:t>
      </w:r>
    </w:p>
    <w:p w14:paraId="06DB893D" w14:textId="77777777" w:rsidR="000F18E8" w:rsidRDefault="00000000">
      <w:pPr>
        <w:spacing w:before="315" w:after="105" w:line="360" w:lineRule="auto"/>
        <w:ind w:left="-30"/>
      </w:pPr>
      <w:r>
        <w:rPr>
          <w:rFonts w:ascii="inter" w:eastAsia="inter" w:hAnsi="inter" w:cs="inter"/>
          <w:b/>
          <w:color w:val="000000"/>
          <w:sz w:val="24"/>
        </w:rPr>
        <w:t>Hiring Manager Value Proposition</w:t>
      </w:r>
    </w:p>
    <w:p w14:paraId="2F2CABB3" w14:textId="77777777" w:rsidR="000F18E8" w:rsidRDefault="00000000">
      <w:pPr>
        <w:spacing w:after="210" w:line="360" w:lineRule="auto"/>
      </w:pPr>
      <w:r>
        <w:rPr>
          <w:rFonts w:ascii="inter" w:eastAsia="inter" w:hAnsi="inter" w:cs="inter"/>
          <w:color w:val="000000"/>
        </w:rPr>
        <w:t>Your Week 1 work demonstrates comprehensive data analyst competencies</w:t>
      </w:r>
      <w:bookmarkStart w:id="20" w:name="fnref1:20"/>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FC3B0E4" w14:textId="77777777" w:rsidR="000F18E8" w:rsidRDefault="00000000">
      <w:pPr>
        <w:spacing w:after="210" w:line="360" w:lineRule="auto"/>
      </w:pPr>
      <w:r>
        <w:rPr>
          <w:rFonts w:ascii="inter" w:eastAsia="inter" w:hAnsi="inter" w:cs="inter"/>
          <w:b/>
          <w:color w:val="000000"/>
        </w:rPr>
        <w:t>Technical Proficiency</w:t>
      </w:r>
      <w:r>
        <w:rPr>
          <w:rFonts w:ascii="inter" w:eastAsia="inter" w:hAnsi="inter" w:cs="inter"/>
          <w:color w:val="000000"/>
        </w:rPr>
        <w:t>: Database setup, schema design, and systematic quality assessment methodology</w:t>
      </w:r>
    </w:p>
    <w:p w14:paraId="716603E0" w14:textId="77777777" w:rsidR="000F18E8" w:rsidRDefault="00000000">
      <w:pPr>
        <w:spacing w:after="210" w:line="360" w:lineRule="auto"/>
      </w:pPr>
      <w:r>
        <w:rPr>
          <w:rFonts w:ascii="inter" w:eastAsia="inter" w:hAnsi="inter" w:cs="inter"/>
          <w:b/>
          <w:color w:val="000000"/>
        </w:rPr>
        <w:t>Strategic Thinking</w:t>
      </w:r>
      <w:r>
        <w:rPr>
          <w:rFonts w:ascii="inter" w:eastAsia="inter" w:hAnsi="inter" w:cs="inter"/>
          <w:color w:val="000000"/>
        </w:rPr>
        <w:t>: Data-driven analytical pivoting based on quality constraints rather than predetermined assumptions</w:t>
      </w:r>
    </w:p>
    <w:p w14:paraId="71AF9B89" w14:textId="77777777" w:rsidR="000F18E8" w:rsidRDefault="00000000">
      <w:pPr>
        <w:spacing w:after="210" w:line="360" w:lineRule="auto"/>
      </w:pPr>
      <w:r>
        <w:rPr>
          <w:rFonts w:ascii="inter" w:eastAsia="inter" w:hAnsi="inter" w:cs="inter"/>
          <w:b/>
          <w:color w:val="000000"/>
        </w:rPr>
        <w:lastRenderedPageBreak/>
        <w:t>Business Acumen</w:t>
      </w:r>
      <w:r>
        <w:rPr>
          <w:rFonts w:ascii="inter" w:eastAsia="inter" w:hAnsi="inter" w:cs="inter"/>
          <w:color w:val="000000"/>
        </w:rPr>
        <w:t>: Stakeholder-focused question formulation that addresses real business needs in the SaaS ecosystem</w:t>
      </w:r>
    </w:p>
    <w:p w14:paraId="78EEDE03" w14:textId="77777777" w:rsidR="000F18E8" w:rsidRDefault="00000000">
      <w:pPr>
        <w:spacing w:after="210" w:line="360" w:lineRule="auto"/>
      </w:pPr>
      <w:r>
        <w:rPr>
          <w:rFonts w:ascii="inter" w:eastAsia="inter" w:hAnsi="inter" w:cs="inter"/>
          <w:b/>
          <w:color w:val="000000"/>
        </w:rPr>
        <w:t>Communication Skills</w:t>
      </w:r>
      <w:r>
        <w:rPr>
          <w:rFonts w:ascii="inter" w:eastAsia="inter" w:hAnsi="inter" w:cs="inter"/>
          <w:color w:val="000000"/>
        </w:rPr>
        <w:t>: Professional documentation standards and systematic visual evidence presentation</w:t>
      </w:r>
    </w:p>
    <w:p w14:paraId="7EC8140B" w14:textId="77777777" w:rsidR="000F18E8" w:rsidRDefault="00000000">
      <w:pPr>
        <w:spacing w:before="315" w:after="105" w:line="360" w:lineRule="auto"/>
        <w:ind w:left="-30"/>
      </w:pPr>
      <w:r>
        <w:rPr>
          <w:rFonts w:ascii="inter" w:eastAsia="inter" w:hAnsi="inter" w:cs="inter"/>
          <w:b/>
          <w:color w:val="000000"/>
          <w:sz w:val="24"/>
        </w:rPr>
        <w:t>Market Differentiation</w:t>
      </w:r>
    </w:p>
    <w:p w14:paraId="5CB5ED0B" w14:textId="77777777" w:rsidR="000F18E8" w:rsidRDefault="00000000">
      <w:pPr>
        <w:spacing w:after="210" w:line="360" w:lineRule="auto"/>
      </w:pPr>
      <w:r>
        <w:rPr>
          <w:rFonts w:ascii="inter" w:eastAsia="inter" w:hAnsi="inter" w:cs="inter"/>
          <w:color w:val="000000"/>
        </w:rPr>
        <w:t>Your systematic approach to handling data quality constraints while maintaining business impact focus positions you favorably in the competitive 2025 data analyst job market</w:t>
      </w:r>
      <w:bookmarkStart w:id="21" w:name="fnref1:21"/>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 The combination of technical competency and strategic business thinking aligns with current employer priorities for analytical roles</w:t>
      </w:r>
      <w:bookmarkStart w:id="22" w:name="fnref1:22"/>
      <w:bookmarkEnd w:id="2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C0A8BD2" w14:textId="0B5FA560" w:rsidR="000F18E8" w:rsidRDefault="00000000" w:rsidP="00AB2852">
      <w:pPr>
        <w:spacing w:line="360" w:lineRule="auto"/>
        <w:jc w:val="center"/>
      </w:pPr>
      <w:r>
        <w:rPr>
          <w:rFonts w:ascii="inter" w:eastAsia="inter" w:hAnsi="inter" w:cs="inter"/>
          <w:color w:val="000000"/>
          <w:sz w:val="18"/>
        </w:rPr>
        <w:t xml:space="preserve"> </w:t>
      </w:r>
    </w:p>
    <w:sectPr w:rsidR="000F18E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2924"/>
    <w:multiLevelType w:val="hybridMultilevel"/>
    <w:tmpl w:val="B194078E"/>
    <w:lvl w:ilvl="0" w:tplc="48821EFE">
      <w:start w:val="1"/>
      <w:numFmt w:val="bullet"/>
      <w:lvlText w:val=""/>
      <w:lvlJc w:val="left"/>
      <w:pPr>
        <w:tabs>
          <w:tab w:val="num" w:pos="900"/>
        </w:tabs>
        <w:ind w:left="540" w:hanging="360"/>
      </w:pPr>
      <w:rPr>
        <w:rFonts w:ascii="Symbol" w:hAnsi="Symbol" w:hint="default"/>
      </w:rPr>
    </w:lvl>
    <w:lvl w:ilvl="1" w:tplc="70A6ECE4">
      <w:numFmt w:val="decimal"/>
      <w:lvlText w:val=""/>
      <w:lvlJc w:val="left"/>
    </w:lvl>
    <w:lvl w:ilvl="2" w:tplc="91D86FF8">
      <w:numFmt w:val="decimal"/>
      <w:lvlText w:val=""/>
      <w:lvlJc w:val="left"/>
    </w:lvl>
    <w:lvl w:ilvl="3" w:tplc="03B475B6">
      <w:numFmt w:val="decimal"/>
      <w:lvlText w:val=""/>
      <w:lvlJc w:val="left"/>
    </w:lvl>
    <w:lvl w:ilvl="4" w:tplc="607A9536">
      <w:numFmt w:val="decimal"/>
      <w:lvlText w:val=""/>
      <w:lvlJc w:val="left"/>
    </w:lvl>
    <w:lvl w:ilvl="5" w:tplc="E7843E9C">
      <w:numFmt w:val="decimal"/>
      <w:lvlText w:val=""/>
      <w:lvlJc w:val="left"/>
    </w:lvl>
    <w:lvl w:ilvl="6" w:tplc="710E9334">
      <w:numFmt w:val="decimal"/>
      <w:lvlText w:val=""/>
      <w:lvlJc w:val="left"/>
    </w:lvl>
    <w:lvl w:ilvl="7" w:tplc="A84261FE">
      <w:numFmt w:val="decimal"/>
      <w:lvlText w:val=""/>
      <w:lvlJc w:val="left"/>
    </w:lvl>
    <w:lvl w:ilvl="8" w:tplc="A11A07E4">
      <w:numFmt w:val="decimal"/>
      <w:lvlText w:val=""/>
      <w:lvlJc w:val="left"/>
    </w:lvl>
  </w:abstractNum>
  <w:abstractNum w:abstractNumId="1" w15:restartNumberingAfterBreak="0">
    <w:nsid w:val="256600B1"/>
    <w:multiLevelType w:val="hybridMultilevel"/>
    <w:tmpl w:val="82ACA174"/>
    <w:lvl w:ilvl="0" w:tplc="4F7A847A">
      <w:start w:val="1"/>
      <w:numFmt w:val="decimal"/>
      <w:lvlText w:val="%1."/>
      <w:lvlJc w:val="left"/>
      <w:pPr>
        <w:tabs>
          <w:tab w:val="num" w:pos="900"/>
        </w:tabs>
        <w:ind w:left="540" w:hanging="360"/>
      </w:pPr>
    </w:lvl>
    <w:lvl w:ilvl="1" w:tplc="AFD28862">
      <w:numFmt w:val="decimal"/>
      <w:lvlText w:val=""/>
      <w:lvlJc w:val="left"/>
    </w:lvl>
    <w:lvl w:ilvl="2" w:tplc="8A960272">
      <w:numFmt w:val="decimal"/>
      <w:lvlText w:val=""/>
      <w:lvlJc w:val="left"/>
    </w:lvl>
    <w:lvl w:ilvl="3" w:tplc="50B0C898">
      <w:numFmt w:val="decimal"/>
      <w:lvlText w:val=""/>
      <w:lvlJc w:val="left"/>
    </w:lvl>
    <w:lvl w:ilvl="4" w:tplc="001EDE44">
      <w:numFmt w:val="decimal"/>
      <w:lvlText w:val=""/>
      <w:lvlJc w:val="left"/>
    </w:lvl>
    <w:lvl w:ilvl="5" w:tplc="618A8114">
      <w:numFmt w:val="decimal"/>
      <w:lvlText w:val=""/>
      <w:lvlJc w:val="left"/>
    </w:lvl>
    <w:lvl w:ilvl="6" w:tplc="717AE874">
      <w:numFmt w:val="decimal"/>
      <w:lvlText w:val=""/>
      <w:lvlJc w:val="left"/>
    </w:lvl>
    <w:lvl w:ilvl="7" w:tplc="36C8F42C">
      <w:numFmt w:val="decimal"/>
      <w:lvlText w:val=""/>
      <w:lvlJc w:val="left"/>
    </w:lvl>
    <w:lvl w:ilvl="8" w:tplc="E53CBB48">
      <w:numFmt w:val="decimal"/>
      <w:lvlText w:val=""/>
      <w:lvlJc w:val="left"/>
    </w:lvl>
  </w:abstractNum>
  <w:abstractNum w:abstractNumId="2" w15:restartNumberingAfterBreak="0">
    <w:nsid w:val="28CF487F"/>
    <w:multiLevelType w:val="hybridMultilevel"/>
    <w:tmpl w:val="0E16B14C"/>
    <w:lvl w:ilvl="0" w:tplc="1FD6B27E">
      <w:start w:val="1"/>
      <w:numFmt w:val="bullet"/>
      <w:lvlText w:val=""/>
      <w:lvlJc w:val="left"/>
      <w:pPr>
        <w:tabs>
          <w:tab w:val="num" w:pos="900"/>
        </w:tabs>
        <w:ind w:left="540" w:hanging="360"/>
      </w:pPr>
      <w:rPr>
        <w:rFonts w:ascii="Symbol" w:hAnsi="Symbol" w:hint="default"/>
      </w:rPr>
    </w:lvl>
    <w:lvl w:ilvl="1" w:tplc="17A8D1D6">
      <w:numFmt w:val="decimal"/>
      <w:lvlText w:val=""/>
      <w:lvlJc w:val="left"/>
    </w:lvl>
    <w:lvl w:ilvl="2" w:tplc="9DA2D624">
      <w:numFmt w:val="decimal"/>
      <w:lvlText w:val=""/>
      <w:lvlJc w:val="left"/>
    </w:lvl>
    <w:lvl w:ilvl="3" w:tplc="C540B01C">
      <w:numFmt w:val="decimal"/>
      <w:lvlText w:val=""/>
      <w:lvlJc w:val="left"/>
    </w:lvl>
    <w:lvl w:ilvl="4" w:tplc="B4BE7262">
      <w:numFmt w:val="decimal"/>
      <w:lvlText w:val=""/>
      <w:lvlJc w:val="left"/>
    </w:lvl>
    <w:lvl w:ilvl="5" w:tplc="7354CD30">
      <w:numFmt w:val="decimal"/>
      <w:lvlText w:val=""/>
      <w:lvlJc w:val="left"/>
    </w:lvl>
    <w:lvl w:ilvl="6" w:tplc="4C40BC3A">
      <w:numFmt w:val="decimal"/>
      <w:lvlText w:val=""/>
      <w:lvlJc w:val="left"/>
    </w:lvl>
    <w:lvl w:ilvl="7" w:tplc="728AB430">
      <w:numFmt w:val="decimal"/>
      <w:lvlText w:val=""/>
      <w:lvlJc w:val="left"/>
    </w:lvl>
    <w:lvl w:ilvl="8" w:tplc="104EBC58">
      <w:numFmt w:val="decimal"/>
      <w:lvlText w:val=""/>
      <w:lvlJc w:val="left"/>
    </w:lvl>
  </w:abstractNum>
  <w:abstractNum w:abstractNumId="3" w15:restartNumberingAfterBreak="0">
    <w:nsid w:val="4BEE415C"/>
    <w:multiLevelType w:val="hybridMultilevel"/>
    <w:tmpl w:val="5B8ED2EA"/>
    <w:lvl w:ilvl="0" w:tplc="E134417E">
      <w:start w:val="1"/>
      <w:numFmt w:val="decimal"/>
      <w:lvlText w:val="%1."/>
      <w:lvlJc w:val="left"/>
      <w:pPr>
        <w:tabs>
          <w:tab w:val="num" w:pos="900"/>
        </w:tabs>
        <w:ind w:left="540" w:hanging="360"/>
      </w:pPr>
    </w:lvl>
    <w:lvl w:ilvl="1" w:tplc="EE76A6DA">
      <w:numFmt w:val="decimal"/>
      <w:lvlText w:val=""/>
      <w:lvlJc w:val="left"/>
    </w:lvl>
    <w:lvl w:ilvl="2" w:tplc="966C35D6">
      <w:numFmt w:val="decimal"/>
      <w:lvlText w:val=""/>
      <w:lvlJc w:val="left"/>
    </w:lvl>
    <w:lvl w:ilvl="3" w:tplc="DEAAB954">
      <w:numFmt w:val="decimal"/>
      <w:lvlText w:val=""/>
      <w:lvlJc w:val="left"/>
    </w:lvl>
    <w:lvl w:ilvl="4" w:tplc="79CC2988">
      <w:numFmt w:val="decimal"/>
      <w:lvlText w:val=""/>
      <w:lvlJc w:val="left"/>
    </w:lvl>
    <w:lvl w:ilvl="5" w:tplc="8B18995A">
      <w:numFmt w:val="decimal"/>
      <w:lvlText w:val=""/>
      <w:lvlJc w:val="left"/>
    </w:lvl>
    <w:lvl w:ilvl="6" w:tplc="A630FDC8">
      <w:numFmt w:val="decimal"/>
      <w:lvlText w:val=""/>
      <w:lvlJc w:val="left"/>
    </w:lvl>
    <w:lvl w:ilvl="7" w:tplc="656A0040">
      <w:numFmt w:val="decimal"/>
      <w:lvlText w:val=""/>
      <w:lvlJc w:val="left"/>
    </w:lvl>
    <w:lvl w:ilvl="8" w:tplc="DFCC31C0">
      <w:numFmt w:val="decimal"/>
      <w:lvlText w:val=""/>
      <w:lvlJc w:val="left"/>
    </w:lvl>
  </w:abstractNum>
  <w:abstractNum w:abstractNumId="4" w15:restartNumberingAfterBreak="0">
    <w:nsid w:val="73F257BC"/>
    <w:multiLevelType w:val="hybridMultilevel"/>
    <w:tmpl w:val="0A2A54C4"/>
    <w:lvl w:ilvl="0" w:tplc="62441FA8">
      <w:numFmt w:val="decimal"/>
      <w:lvlText w:val=""/>
      <w:lvlJc w:val="left"/>
    </w:lvl>
    <w:lvl w:ilvl="1" w:tplc="D40C5322">
      <w:numFmt w:val="decimal"/>
      <w:lvlText w:val=""/>
      <w:lvlJc w:val="left"/>
    </w:lvl>
    <w:lvl w:ilvl="2" w:tplc="AC305D66">
      <w:numFmt w:val="decimal"/>
      <w:lvlText w:val=""/>
      <w:lvlJc w:val="left"/>
    </w:lvl>
    <w:lvl w:ilvl="3" w:tplc="85661F92">
      <w:numFmt w:val="decimal"/>
      <w:lvlText w:val=""/>
      <w:lvlJc w:val="left"/>
    </w:lvl>
    <w:lvl w:ilvl="4" w:tplc="939A0D52">
      <w:numFmt w:val="decimal"/>
      <w:lvlText w:val=""/>
      <w:lvlJc w:val="left"/>
    </w:lvl>
    <w:lvl w:ilvl="5" w:tplc="6644D3A6">
      <w:numFmt w:val="decimal"/>
      <w:lvlText w:val=""/>
      <w:lvlJc w:val="left"/>
    </w:lvl>
    <w:lvl w:ilvl="6" w:tplc="28B056E8">
      <w:numFmt w:val="decimal"/>
      <w:lvlText w:val=""/>
      <w:lvlJc w:val="left"/>
    </w:lvl>
    <w:lvl w:ilvl="7" w:tplc="95A8C6D8">
      <w:numFmt w:val="decimal"/>
      <w:lvlText w:val=""/>
      <w:lvlJc w:val="left"/>
    </w:lvl>
    <w:lvl w:ilvl="8" w:tplc="F21CC1DE">
      <w:numFmt w:val="decimal"/>
      <w:lvlText w:val=""/>
      <w:lvlJc w:val="left"/>
    </w:lvl>
  </w:abstractNum>
  <w:num w:numId="1" w16cid:durableId="713389854">
    <w:abstractNumId w:val="0"/>
  </w:num>
  <w:num w:numId="2" w16cid:durableId="1372143887">
    <w:abstractNumId w:val="3"/>
  </w:num>
  <w:num w:numId="3" w16cid:durableId="876812905">
    <w:abstractNumId w:val="2"/>
  </w:num>
  <w:num w:numId="4" w16cid:durableId="1397508837">
    <w:abstractNumId w:val="4"/>
  </w:num>
  <w:num w:numId="5" w16cid:durableId="722749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8E8"/>
    <w:rsid w:val="000F18E8"/>
    <w:rsid w:val="00AB2852"/>
    <w:rsid w:val="00ED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A296"/>
  <w15:docId w15:val="{4446EC9F-9B45-1C4F-BF55-46CBC9E6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Farooq Syed</cp:lastModifiedBy>
  <cp:revision>2</cp:revision>
  <dcterms:created xsi:type="dcterms:W3CDTF">2025-06-13T20:39:00Z</dcterms:created>
  <dcterms:modified xsi:type="dcterms:W3CDTF">2025-06-15T00:07:00Z</dcterms:modified>
</cp:coreProperties>
</file>