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57032B" w:rsidRDefault="00000000">
      <w:pPr>
        <w:rPr>
          <w:b/>
        </w:rPr>
      </w:pPr>
      <w:r>
        <w:rPr>
          <w:b/>
        </w:rPr>
        <w:t>Example Non-Material Change Memo that requires a new Personal Finance Statement (PFS):</w:t>
      </w:r>
    </w:p>
    <w:p w14:paraId="00000002" w14:textId="77777777" w:rsidR="0057032B" w:rsidRDefault="0057032B">
      <w:pPr>
        <w:rPr>
          <w:b/>
        </w:rPr>
      </w:pPr>
    </w:p>
    <w:p w14:paraId="00000003" w14:textId="77777777" w:rsidR="0057032B" w:rsidRDefault="00000000">
      <w:pPr>
        <w:rPr>
          <w:color w:val="0E0E0E"/>
          <w:sz w:val="21"/>
          <w:szCs w:val="21"/>
        </w:rPr>
      </w:pPr>
      <w:r>
        <w:rPr>
          <w:b/>
          <w:color w:val="0E0E0E"/>
          <w:sz w:val="21"/>
          <w:szCs w:val="21"/>
        </w:rPr>
        <w:t>Date</w:t>
      </w:r>
      <w:r>
        <w:rPr>
          <w:color w:val="0E0E0E"/>
          <w:sz w:val="21"/>
          <w:szCs w:val="21"/>
        </w:rPr>
        <w:t>: November 18, 2024</w:t>
      </w:r>
    </w:p>
    <w:p w14:paraId="00000004" w14:textId="77777777" w:rsidR="0057032B" w:rsidRDefault="00000000">
      <w:pPr>
        <w:rPr>
          <w:color w:val="0E0E0E"/>
          <w:sz w:val="21"/>
          <w:szCs w:val="21"/>
        </w:rPr>
      </w:pPr>
      <w:r>
        <w:rPr>
          <w:b/>
          <w:color w:val="0E0E0E"/>
          <w:sz w:val="21"/>
          <w:szCs w:val="21"/>
        </w:rPr>
        <w:t>To</w:t>
      </w:r>
      <w:r>
        <w:rPr>
          <w:color w:val="0E0E0E"/>
          <w:sz w:val="21"/>
          <w:szCs w:val="21"/>
        </w:rPr>
        <w:t>: Loan Committee / Credit Risk Department</w:t>
      </w:r>
    </w:p>
    <w:p w14:paraId="00000005" w14:textId="77777777" w:rsidR="0057032B" w:rsidRDefault="00000000">
      <w:pPr>
        <w:rPr>
          <w:color w:val="0E0E0E"/>
          <w:sz w:val="21"/>
          <w:szCs w:val="21"/>
        </w:rPr>
      </w:pPr>
      <w:r>
        <w:rPr>
          <w:b/>
          <w:color w:val="0E0E0E"/>
          <w:sz w:val="21"/>
          <w:szCs w:val="21"/>
        </w:rPr>
        <w:t>From</w:t>
      </w:r>
      <w:r>
        <w:rPr>
          <w:color w:val="0E0E0E"/>
          <w:sz w:val="21"/>
          <w:szCs w:val="21"/>
        </w:rPr>
        <w:t>: Patrick Murphy, VP, Commercial Real Estate Lending</w:t>
      </w:r>
    </w:p>
    <w:p w14:paraId="00000006" w14:textId="77777777" w:rsidR="0057032B" w:rsidRDefault="00000000">
      <w:pPr>
        <w:rPr>
          <w:color w:val="0E0E0E"/>
          <w:sz w:val="21"/>
          <w:szCs w:val="21"/>
        </w:rPr>
      </w:pPr>
      <w:r>
        <w:rPr>
          <w:b/>
          <w:color w:val="0E0E0E"/>
          <w:sz w:val="21"/>
          <w:szCs w:val="21"/>
        </w:rPr>
        <w:t>Subject</w:t>
      </w:r>
      <w:r>
        <w:rPr>
          <w:color w:val="0E0E0E"/>
          <w:sz w:val="21"/>
          <w:szCs w:val="21"/>
        </w:rPr>
        <w:t>: Non-Material Change Notification – Commercial Property at 123 Main Street, Straddling Cambridge and Somerville, Massachusetts</w:t>
      </w:r>
    </w:p>
    <w:p w14:paraId="00000007" w14:textId="77777777" w:rsidR="0057032B" w:rsidRDefault="0057032B">
      <w:pPr>
        <w:rPr>
          <w:color w:val="0E0E0E"/>
          <w:sz w:val="21"/>
          <w:szCs w:val="21"/>
        </w:rPr>
      </w:pPr>
    </w:p>
    <w:p w14:paraId="00000008" w14:textId="77777777" w:rsidR="0057032B" w:rsidRDefault="0057032B">
      <w:pPr>
        <w:rPr>
          <w:color w:val="0E0E0E"/>
          <w:sz w:val="21"/>
          <w:szCs w:val="21"/>
        </w:rPr>
      </w:pPr>
    </w:p>
    <w:p w14:paraId="00000009" w14:textId="77777777" w:rsidR="0057032B" w:rsidRDefault="00000000">
      <w:pPr>
        <w:rPr>
          <w:color w:val="0E0E0E"/>
          <w:sz w:val="21"/>
          <w:szCs w:val="21"/>
        </w:rPr>
      </w:pPr>
      <w:r>
        <w:rPr>
          <w:b/>
          <w:color w:val="0E0E0E"/>
          <w:sz w:val="21"/>
          <w:szCs w:val="21"/>
        </w:rPr>
        <w:t>Background</w:t>
      </w:r>
      <w:r>
        <w:rPr>
          <w:color w:val="0E0E0E"/>
          <w:sz w:val="21"/>
          <w:szCs w:val="21"/>
        </w:rPr>
        <w:t>:</w:t>
      </w:r>
    </w:p>
    <w:p w14:paraId="0000000A" w14:textId="77777777" w:rsidR="0057032B" w:rsidRDefault="00000000">
      <w:pPr>
        <w:rPr>
          <w:color w:val="0E0E0E"/>
          <w:sz w:val="21"/>
          <w:szCs w:val="21"/>
        </w:rPr>
      </w:pPr>
      <w:r>
        <w:rPr>
          <w:color w:val="0E0E0E"/>
          <w:sz w:val="21"/>
          <w:szCs w:val="21"/>
        </w:rPr>
        <w:t xml:space="preserve">This memo serves to document a non-material </w:t>
      </w:r>
      <w:proofErr w:type="gramStart"/>
      <w:r>
        <w:rPr>
          <w:color w:val="0E0E0E"/>
          <w:sz w:val="21"/>
          <w:szCs w:val="21"/>
        </w:rPr>
        <w:t>change</w:t>
      </w:r>
      <w:proofErr w:type="gramEnd"/>
      <w:r>
        <w:rPr>
          <w:color w:val="0E0E0E"/>
          <w:sz w:val="21"/>
          <w:szCs w:val="21"/>
        </w:rPr>
        <w:t xml:space="preserve"> regarding the loan for the commercial property at 123 Main Street, which spans the municipalities of Cambridge and Somerville, Massachusetts. The loan was originally approved on September 15, 2024, and is associated with a planned redevelopment project. Due to complexities in obtaining municipal permits across two jurisdictions, there has been an unexpected delay of six months in project timelines.</w:t>
      </w:r>
    </w:p>
    <w:p w14:paraId="0000000B" w14:textId="77777777" w:rsidR="0057032B" w:rsidRDefault="00000000">
      <w:pPr>
        <w:rPr>
          <w:color w:val="0E0E0E"/>
          <w:sz w:val="21"/>
          <w:szCs w:val="21"/>
        </w:rPr>
      </w:pPr>
      <w:r>
        <w:rPr>
          <w:color w:val="0E0E0E"/>
          <w:sz w:val="21"/>
          <w:szCs w:val="21"/>
        </w:rPr>
        <w:t>Additionally, the borrower has submitted an updated Personal Financial Statement (PFS), reflecting a change in net worth that further supports the borrower’s ongoing financial capacity to meet debt obligations and project costs.</w:t>
      </w:r>
    </w:p>
    <w:p w14:paraId="0000000C" w14:textId="77777777" w:rsidR="0057032B" w:rsidRDefault="0057032B">
      <w:pPr>
        <w:rPr>
          <w:b/>
          <w:color w:val="0E0E0E"/>
          <w:sz w:val="21"/>
          <w:szCs w:val="21"/>
        </w:rPr>
      </w:pPr>
    </w:p>
    <w:p w14:paraId="0000000D" w14:textId="77777777" w:rsidR="0057032B" w:rsidRDefault="0057032B">
      <w:pPr>
        <w:rPr>
          <w:color w:val="0E0E0E"/>
          <w:sz w:val="21"/>
          <w:szCs w:val="21"/>
        </w:rPr>
      </w:pPr>
    </w:p>
    <w:p w14:paraId="0000000E" w14:textId="77777777" w:rsidR="0057032B" w:rsidRDefault="00000000">
      <w:pPr>
        <w:rPr>
          <w:b/>
        </w:rPr>
      </w:pPr>
      <w:r>
        <w:rPr>
          <w:b/>
        </w:rPr>
        <w:t>Property Overview:</w:t>
      </w:r>
    </w:p>
    <w:p w14:paraId="0000000F" w14:textId="77777777" w:rsidR="0057032B" w:rsidRDefault="0057032B"/>
    <w:p w14:paraId="42D4BC5B" w14:textId="33387ED6" w:rsidR="00C809FD" w:rsidRDefault="00C809FD">
      <w:r>
        <w:t>PLEASE EXTRACT THE BELOW FROM THE LP MEMO DOCUMENT UPLOADED</w:t>
      </w:r>
    </w:p>
    <w:p w14:paraId="00000010" w14:textId="77777777" w:rsidR="0057032B" w:rsidRDefault="00000000">
      <w:pPr>
        <w:numPr>
          <w:ilvl w:val="0"/>
          <w:numId w:val="3"/>
        </w:numPr>
      </w:pPr>
      <w:r>
        <w:t>Address: 123 Main Street</w:t>
      </w:r>
    </w:p>
    <w:p w14:paraId="00000011" w14:textId="77777777" w:rsidR="0057032B" w:rsidRDefault="00000000">
      <w:pPr>
        <w:numPr>
          <w:ilvl w:val="0"/>
          <w:numId w:val="3"/>
        </w:numPr>
      </w:pPr>
      <w:r>
        <w:t>Municipalities: Cambridge and Somerville, Massachusetts</w:t>
      </w:r>
    </w:p>
    <w:p w14:paraId="00000012" w14:textId="77777777" w:rsidR="0057032B" w:rsidRDefault="00000000">
      <w:pPr>
        <w:numPr>
          <w:ilvl w:val="0"/>
          <w:numId w:val="3"/>
        </w:numPr>
      </w:pPr>
      <w:r>
        <w:t>Asset Type: Mixed-use (Office and Retail)</w:t>
      </w:r>
    </w:p>
    <w:p w14:paraId="00000013" w14:textId="77777777" w:rsidR="0057032B" w:rsidRDefault="00000000">
      <w:pPr>
        <w:numPr>
          <w:ilvl w:val="0"/>
          <w:numId w:val="3"/>
        </w:numPr>
      </w:pPr>
      <w:r>
        <w:t>Square Footage: 50,000 total square feet</w:t>
      </w:r>
    </w:p>
    <w:p w14:paraId="00000014" w14:textId="77777777" w:rsidR="0057032B" w:rsidRDefault="00000000">
      <w:pPr>
        <w:numPr>
          <w:ilvl w:val="0"/>
          <w:numId w:val="3"/>
        </w:numPr>
      </w:pPr>
      <w:r>
        <w:t>Cambridge: 25,000 square feet</w:t>
      </w:r>
    </w:p>
    <w:p w14:paraId="00000015" w14:textId="77777777" w:rsidR="0057032B" w:rsidRDefault="00000000">
      <w:pPr>
        <w:numPr>
          <w:ilvl w:val="0"/>
          <w:numId w:val="3"/>
        </w:numPr>
      </w:pPr>
      <w:r>
        <w:t>Somerville: 25,000 square feet</w:t>
      </w:r>
    </w:p>
    <w:p w14:paraId="00000016" w14:textId="77777777" w:rsidR="0057032B" w:rsidRDefault="0057032B"/>
    <w:p w14:paraId="00000017" w14:textId="77777777" w:rsidR="0057032B" w:rsidRDefault="00000000">
      <w:pPr>
        <w:rPr>
          <w:b/>
        </w:rPr>
      </w:pPr>
      <w:r>
        <w:rPr>
          <w:b/>
        </w:rPr>
        <w:t>Investment Summary:</w:t>
      </w:r>
    </w:p>
    <w:p w14:paraId="00000018" w14:textId="77777777" w:rsidR="0057032B" w:rsidRDefault="0057032B"/>
    <w:p w14:paraId="36B55A12" w14:textId="77777777" w:rsidR="00C809FD" w:rsidRDefault="00C809FD" w:rsidP="00C809FD">
      <w:r>
        <w:t>PLEASE EXTRACT THE BELOW FROM THE LP MEMO DOCUMENT UPLOADED</w:t>
      </w:r>
    </w:p>
    <w:p w14:paraId="79546BB8" w14:textId="77777777" w:rsidR="00C809FD" w:rsidRDefault="00C809FD"/>
    <w:p w14:paraId="00000019" w14:textId="77777777" w:rsidR="0057032B" w:rsidRDefault="00000000">
      <w:pPr>
        <w:numPr>
          <w:ilvl w:val="0"/>
          <w:numId w:val="1"/>
        </w:numPr>
      </w:pPr>
      <w:r>
        <w:t>Acquisition Date: October 1, 2024</w:t>
      </w:r>
    </w:p>
    <w:p w14:paraId="0000001A" w14:textId="77777777" w:rsidR="0057032B" w:rsidRDefault="00000000">
      <w:pPr>
        <w:numPr>
          <w:ilvl w:val="0"/>
          <w:numId w:val="1"/>
        </w:numPr>
      </w:pPr>
      <w:r>
        <w:t>Total Purchase Price: $25,000,000</w:t>
      </w:r>
    </w:p>
    <w:p w14:paraId="0000001B" w14:textId="77777777" w:rsidR="0057032B" w:rsidRDefault="00000000">
      <w:pPr>
        <w:numPr>
          <w:ilvl w:val="0"/>
          <w:numId w:val="1"/>
        </w:numPr>
      </w:pPr>
      <w:r>
        <w:t>Equity Contribution: $10,000,000 (funded by LP capital commitments)</w:t>
      </w:r>
    </w:p>
    <w:p w14:paraId="0000001C" w14:textId="77777777" w:rsidR="0057032B" w:rsidRDefault="00000000">
      <w:pPr>
        <w:numPr>
          <w:ilvl w:val="0"/>
          <w:numId w:val="1"/>
        </w:numPr>
      </w:pPr>
      <w:r>
        <w:t>Debt Financing: $15,000,000 (secured through Needham Bank)</w:t>
      </w:r>
    </w:p>
    <w:p w14:paraId="0000001D" w14:textId="77777777" w:rsidR="0057032B" w:rsidRDefault="00000000">
      <w:pPr>
        <w:numPr>
          <w:ilvl w:val="0"/>
          <w:numId w:val="1"/>
        </w:numPr>
      </w:pPr>
      <w:r>
        <w:t>Projected Annual NOI (Net Operating Income): $1,500,000</w:t>
      </w:r>
    </w:p>
    <w:p w14:paraId="0000001E" w14:textId="77777777" w:rsidR="0057032B" w:rsidRDefault="00000000">
      <w:pPr>
        <w:numPr>
          <w:ilvl w:val="0"/>
          <w:numId w:val="1"/>
        </w:numPr>
      </w:pPr>
      <w:r>
        <w:t>Target IRR (Internal Rate of Return): 15%</w:t>
      </w:r>
    </w:p>
    <w:p w14:paraId="0000001F" w14:textId="77777777" w:rsidR="0057032B" w:rsidRDefault="00000000">
      <w:pPr>
        <w:numPr>
          <w:ilvl w:val="0"/>
          <w:numId w:val="1"/>
        </w:numPr>
      </w:pPr>
      <w:r>
        <w:t>Hold Period: 7 years</w:t>
      </w:r>
    </w:p>
    <w:p w14:paraId="00000020" w14:textId="77777777" w:rsidR="0057032B" w:rsidRDefault="0057032B">
      <w:pPr>
        <w:rPr>
          <w:color w:val="0E0E0E"/>
          <w:sz w:val="21"/>
          <w:szCs w:val="21"/>
        </w:rPr>
      </w:pPr>
    </w:p>
    <w:p w14:paraId="00000021" w14:textId="77777777" w:rsidR="0057032B" w:rsidRDefault="0057032B">
      <w:pPr>
        <w:rPr>
          <w:color w:val="0E0E0E"/>
          <w:sz w:val="21"/>
          <w:szCs w:val="21"/>
        </w:rPr>
      </w:pPr>
    </w:p>
    <w:p w14:paraId="00000022" w14:textId="77777777" w:rsidR="0057032B" w:rsidRDefault="00000000">
      <w:pPr>
        <w:rPr>
          <w:color w:val="0E0E0E"/>
          <w:sz w:val="21"/>
          <w:szCs w:val="21"/>
        </w:rPr>
      </w:pPr>
      <w:r>
        <w:rPr>
          <w:b/>
          <w:color w:val="0E0E0E"/>
          <w:sz w:val="21"/>
          <w:szCs w:val="21"/>
        </w:rPr>
        <w:t>Description of Change</w:t>
      </w:r>
      <w:r>
        <w:rPr>
          <w:color w:val="0E0E0E"/>
          <w:sz w:val="21"/>
          <w:szCs w:val="21"/>
        </w:rPr>
        <w:t>:</w:t>
      </w:r>
    </w:p>
    <w:p w14:paraId="3A707728" w14:textId="77D49B3B" w:rsidR="00C809FD" w:rsidRDefault="00C809FD">
      <w:pPr>
        <w:rPr>
          <w:color w:val="0E0E0E"/>
          <w:sz w:val="21"/>
          <w:szCs w:val="21"/>
        </w:rPr>
      </w:pPr>
      <w:r>
        <w:rPr>
          <w:color w:val="0E0E0E"/>
          <w:sz w:val="21"/>
          <w:szCs w:val="21"/>
        </w:rPr>
        <w:lastRenderedPageBreak/>
        <w:t>PLEASE EXTRACT THIS FROM THE EMAIL PROVIDED</w:t>
      </w:r>
    </w:p>
    <w:p w14:paraId="00000023" w14:textId="77777777" w:rsidR="0057032B" w:rsidRDefault="00000000">
      <w:pPr>
        <w:numPr>
          <w:ilvl w:val="0"/>
          <w:numId w:val="2"/>
        </w:numPr>
        <w:spacing w:before="180"/>
        <w:rPr>
          <w:color w:val="0E0E0E"/>
          <w:sz w:val="21"/>
          <w:szCs w:val="21"/>
        </w:rPr>
      </w:pPr>
      <w:r>
        <w:rPr>
          <w:b/>
          <w:color w:val="0E0E0E"/>
          <w:sz w:val="21"/>
          <w:szCs w:val="21"/>
        </w:rPr>
        <w:t xml:space="preserve">Permitting Delay: </w:t>
      </w:r>
      <w:r>
        <w:rPr>
          <w:color w:val="0E0E0E"/>
          <w:sz w:val="21"/>
          <w:szCs w:val="21"/>
        </w:rPr>
        <w:t>The original project schedule anticipated obtaining necessary permits within a four-month period; however, the dual-municipality requirements in Cambridge and Somerville have extended the process by six months. The borrower is requesting a six-month extension to accommodate the permitting delay without altering other terms of the loan.</w:t>
      </w:r>
    </w:p>
    <w:p w14:paraId="00000024" w14:textId="77777777" w:rsidR="0057032B" w:rsidRDefault="00000000">
      <w:pPr>
        <w:spacing w:before="180"/>
        <w:rPr>
          <w:color w:val="0E0E0E"/>
          <w:sz w:val="21"/>
          <w:szCs w:val="21"/>
        </w:rPr>
      </w:pPr>
      <w:r>
        <w:rPr>
          <w:b/>
          <w:color w:val="0E0E0E"/>
          <w:sz w:val="21"/>
          <w:szCs w:val="21"/>
        </w:rPr>
        <w:t>Updated Financial Information</w:t>
      </w:r>
      <w:r>
        <w:rPr>
          <w:color w:val="0E0E0E"/>
          <w:sz w:val="21"/>
          <w:szCs w:val="21"/>
        </w:rPr>
        <w:t>:</w:t>
      </w:r>
    </w:p>
    <w:p w14:paraId="4D6893A2" w14:textId="77777777" w:rsidR="00C809FD" w:rsidRDefault="00C809FD" w:rsidP="00C809FD">
      <w:pPr>
        <w:rPr>
          <w:color w:val="0E0E0E"/>
          <w:sz w:val="21"/>
          <w:szCs w:val="21"/>
        </w:rPr>
      </w:pPr>
    </w:p>
    <w:p w14:paraId="10AAB408" w14:textId="1650D3FF" w:rsidR="00C809FD" w:rsidRDefault="00C809FD" w:rsidP="00C809FD">
      <w:pPr>
        <w:rPr>
          <w:color w:val="0E0E0E"/>
          <w:sz w:val="21"/>
          <w:szCs w:val="21"/>
        </w:rPr>
      </w:pPr>
      <w:r>
        <w:rPr>
          <w:color w:val="0E0E0E"/>
          <w:sz w:val="21"/>
          <w:szCs w:val="21"/>
        </w:rPr>
        <w:t xml:space="preserve">PLEASE EXTRACT THIS FROM THE </w:t>
      </w:r>
      <w:r>
        <w:rPr>
          <w:color w:val="0E0E0E"/>
          <w:sz w:val="21"/>
          <w:szCs w:val="21"/>
        </w:rPr>
        <w:t>PERSONAL FINANCIAL STATEMEN TS PROVIDED. PLEASE SEE THE SHEET ‘BUDGET SHEET’ FOR NET WORTH.</w:t>
      </w:r>
    </w:p>
    <w:p w14:paraId="00000025" w14:textId="0300382D" w:rsidR="0057032B" w:rsidRDefault="00000000">
      <w:pPr>
        <w:numPr>
          <w:ilvl w:val="0"/>
          <w:numId w:val="2"/>
        </w:numPr>
        <w:spacing w:before="180"/>
        <w:rPr>
          <w:color w:val="0E0E0E"/>
          <w:sz w:val="21"/>
          <w:szCs w:val="21"/>
        </w:rPr>
      </w:pPr>
      <w:r>
        <w:rPr>
          <w:color w:val="0E0E0E"/>
          <w:sz w:val="21"/>
          <w:szCs w:val="21"/>
        </w:rPr>
        <w:t>Previous Net Worth (as of August 1, 2024): 5,000,000 with assets of 1,000,000.</w:t>
      </w:r>
    </w:p>
    <w:p w14:paraId="00000026" w14:textId="21CE2696" w:rsidR="0057032B" w:rsidRDefault="00000000">
      <w:pPr>
        <w:numPr>
          <w:ilvl w:val="0"/>
          <w:numId w:val="2"/>
        </w:numPr>
        <w:rPr>
          <w:color w:val="0E0E0E"/>
          <w:sz w:val="21"/>
          <w:szCs w:val="21"/>
        </w:rPr>
      </w:pPr>
      <w:r>
        <w:rPr>
          <w:color w:val="0E0E0E"/>
          <w:sz w:val="21"/>
          <w:szCs w:val="21"/>
        </w:rPr>
        <w:t>Updated Net Worth (as of November 1, 2024): 5,500,000 due to the sale of a personal asset. The net proceeds of 500,000 have increased assets to 1,500,000.</w:t>
      </w:r>
    </w:p>
    <w:p w14:paraId="00000027" w14:textId="77777777" w:rsidR="0057032B" w:rsidRDefault="0057032B">
      <w:pPr>
        <w:rPr>
          <w:color w:val="0E0E0E"/>
          <w:sz w:val="21"/>
          <w:szCs w:val="21"/>
        </w:rPr>
      </w:pPr>
    </w:p>
    <w:p w14:paraId="00000028" w14:textId="77777777" w:rsidR="0057032B" w:rsidRDefault="0057032B">
      <w:pPr>
        <w:rPr>
          <w:color w:val="0E0E0E"/>
          <w:sz w:val="21"/>
          <w:szCs w:val="21"/>
        </w:rPr>
      </w:pPr>
    </w:p>
    <w:p w14:paraId="00000029" w14:textId="77777777" w:rsidR="0057032B" w:rsidRDefault="00000000">
      <w:pPr>
        <w:rPr>
          <w:b/>
          <w:color w:val="0E0E0E"/>
          <w:sz w:val="21"/>
          <w:szCs w:val="21"/>
        </w:rPr>
      </w:pPr>
      <w:r>
        <w:rPr>
          <w:b/>
          <w:color w:val="0E0E0E"/>
          <w:sz w:val="21"/>
          <w:szCs w:val="21"/>
        </w:rPr>
        <w:t>Conclusion:</w:t>
      </w:r>
    </w:p>
    <w:p w14:paraId="0000002A" w14:textId="77777777" w:rsidR="0057032B" w:rsidRDefault="0057032B">
      <w:pPr>
        <w:rPr>
          <w:color w:val="0E0E0E"/>
          <w:sz w:val="21"/>
          <w:szCs w:val="21"/>
        </w:rPr>
      </w:pPr>
    </w:p>
    <w:p w14:paraId="0000002B" w14:textId="77777777" w:rsidR="0057032B" w:rsidRDefault="00000000">
      <w:pPr>
        <w:rPr>
          <w:color w:val="0E0E0E"/>
          <w:sz w:val="21"/>
          <w:szCs w:val="21"/>
        </w:rPr>
      </w:pPr>
      <w:r>
        <w:rPr>
          <w:color w:val="0E0E0E"/>
          <w:sz w:val="21"/>
          <w:szCs w:val="21"/>
        </w:rPr>
        <w:t>The change is deemed non-material and does not require amendments to the existing agreement. This memo is intended for record-keeping purposes to maintain accurate documentation.</w:t>
      </w:r>
    </w:p>
    <w:p w14:paraId="0000002C" w14:textId="77777777" w:rsidR="0057032B" w:rsidRDefault="0057032B">
      <w:pPr>
        <w:rPr>
          <w:color w:val="0E0E0E"/>
          <w:sz w:val="21"/>
          <w:szCs w:val="21"/>
        </w:rPr>
      </w:pPr>
    </w:p>
    <w:p w14:paraId="0000002D" w14:textId="77777777" w:rsidR="0057032B" w:rsidRDefault="00000000">
      <w:pPr>
        <w:rPr>
          <w:b/>
          <w:color w:val="0E0E0E"/>
          <w:sz w:val="21"/>
          <w:szCs w:val="21"/>
        </w:rPr>
      </w:pPr>
      <w:r>
        <w:rPr>
          <w:b/>
          <w:color w:val="0E0E0E"/>
          <w:sz w:val="21"/>
          <w:szCs w:val="21"/>
        </w:rPr>
        <w:t>Acknowledgment:</w:t>
      </w:r>
    </w:p>
    <w:p w14:paraId="0000002E" w14:textId="77777777" w:rsidR="0057032B" w:rsidRDefault="00000000">
      <w:pPr>
        <w:rPr>
          <w:color w:val="0E0E0E"/>
          <w:sz w:val="21"/>
          <w:szCs w:val="21"/>
        </w:rPr>
      </w:pPr>
      <w:r>
        <w:rPr>
          <w:color w:val="0E0E0E"/>
          <w:sz w:val="21"/>
          <w:szCs w:val="21"/>
        </w:rPr>
        <w:t>Signature: ____________________________</w:t>
      </w:r>
    </w:p>
    <w:p w14:paraId="0000002F" w14:textId="77777777" w:rsidR="0057032B" w:rsidRDefault="00000000">
      <w:pPr>
        <w:rPr>
          <w:color w:val="0E0E0E"/>
          <w:sz w:val="21"/>
          <w:szCs w:val="21"/>
        </w:rPr>
      </w:pPr>
      <w:r>
        <w:rPr>
          <w:color w:val="0E0E0E"/>
          <w:sz w:val="21"/>
          <w:szCs w:val="21"/>
        </w:rPr>
        <w:t>Tom Waltz</w:t>
      </w:r>
    </w:p>
    <w:p w14:paraId="00000030" w14:textId="77777777" w:rsidR="0057032B" w:rsidRDefault="00000000">
      <w:pPr>
        <w:rPr>
          <w:color w:val="0E0E0E"/>
          <w:sz w:val="21"/>
          <w:szCs w:val="21"/>
        </w:rPr>
      </w:pPr>
      <w:r>
        <w:rPr>
          <w:color w:val="0E0E0E"/>
          <w:sz w:val="21"/>
          <w:szCs w:val="21"/>
        </w:rPr>
        <w:t>Loan Committee Chair</w:t>
      </w:r>
    </w:p>
    <w:p w14:paraId="00000031" w14:textId="77777777" w:rsidR="0057032B" w:rsidRDefault="00000000">
      <w:pPr>
        <w:rPr>
          <w:color w:val="0E0E0E"/>
          <w:sz w:val="21"/>
          <w:szCs w:val="21"/>
        </w:rPr>
      </w:pPr>
      <w:r>
        <w:rPr>
          <w:color w:val="0E0E0E"/>
          <w:sz w:val="21"/>
          <w:szCs w:val="21"/>
        </w:rPr>
        <w:t>Date: ____________________________</w:t>
      </w:r>
    </w:p>
    <w:p w14:paraId="00000032" w14:textId="77777777" w:rsidR="0057032B" w:rsidRDefault="0057032B"/>
    <w:sectPr w:rsidR="0057032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C6BA1"/>
    <w:multiLevelType w:val="multilevel"/>
    <w:tmpl w:val="BB8A1B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64054EE"/>
    <w:multiLevelType w:val="multilevel"/>
    <w:tmpl w:val="FB2C6F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D4C3F33"/>
    <w:multiLevelType w:val="multilevel"/>
    <w:tmpl w:val="723E2D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349674540">
    <w:abstractNumId w:val="1"/>
  </w:num>
  <w:num w:numId="2" w16cid:durableId="1446268488">
    <w:abstractNumId w:val="2"/>
  </w:num>
  <w:num w:numId="3" w16cid:durableId="1820879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032B"/>
    <w:rsid w:val="0057032B"/>
    <w:rsid w:val="00646C51"/>
    <w:rsid w:val="00C809FD"/>
    <w:rsid w:val="00CB6B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22E9A9F"/>
  <w15:docId w15:val="{330F68DD-AEBE-5B48-963D-76D0F7AFA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429</Words>
  <Characters>2449</Characters>
  <Application>Microsoft Office Word</Application>
  <DocSecurity>0</DocSecurity>
  <Lines>20</Lines>
  <Paragraphs>5</Paragraphs>
  <ScaleCrop>false</ScaleCrop>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Farrah Barber</cp:lastModifiedBy>
  <cp:revision>3</cp:revision>
  <dcterms:created xsi:type="dcterms:W3CDTF">2024-11-19T11:54:00Z</dcterms:created>
  <dcterms:modified xsi:type="dcterms:W3CDTF">2024-11-19T21:10:00Z</dcterms:modified>
</cp:coreProperties>
</file>