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UNIVERSITAS DARUSSALAM GONTOR</w:t>
      </w:r>
    </w:p>
    <w:p>
      <w:pPr>
        <w:jc w:val="center"/>
      </w:pPr>
      <w:r>
        <w:rPr>
          <w:rFonts w:ascii="Times New Roman" w:hAnsi="Times New Roman"/>
          <w:b/>
          <w:sz w:val="26"/>
        </w:rPr>
        <w:t>Fakultas Sains dan Teknologi — Program Studi Teknik Informatika</w:t>
      </w:r>
    </w:p>
    <w:p/>
    <w:p>
      <w:pPr>
        <w:jc w:val="center"/>
      </w:pPr>
      <w:r>
        <w:rPr>
          <w:rFonts w:ascii="Times New Roman" w:hAnsi="Times New Roman"/>
          <w:b/>
          <w:sz w:val="30"/>
        </w:rPr>
        <w:t>Pengorganisasian Pengetahuan dalam Peradaban Islam dan Basis Data Modern:</w:t>
      </w:r>
    </w:p>
    <w:p>
      <w:pPr>
        <w:jc w:val="center"/>
      </w:pPr>
      <w:r>
        <w:rPr>
          <w:rFonts w:ascii="Times New Roman" w:hAnsi="Times New Roman"/>
          <w:sz w:val="28"/>
        </w:rPr>
        <w:t>Perbandingan Konseptual melalui Logika al-Farabi</w:t>
      </w:r>
    </w:p>
    <w:p/>
    <w:p>
      <w:pPr>
        <w:spacing w:after="40"/>
        <w:jc w:val="center"/>
      </w:pPr>
      <w:r>
        <w:rPr>
          <w:rFonts w:ascii="Times New Roman" w:hAnsi="Times New Roman"/>
          <w:b w:val="0"/>
          <w:sz w:val="24"/>
        </w:rPr>
        <w:t>Makalah Penelitian</w:t>
      </w:r>
    </w:p>
    <w:p>
      <w:pPr>
        <w:spacing w:after="40"/>
        <w:jc w:val="center"/>
      </w:pPr>
      <w:r>
        <w:rPr>
          <w:rFonts w:ascii="Times New Roman" w:hAnsi="Times New Roman"/>
          <w:b w:val="0"/>
          <w:sz w:val="22"/>
        </w:rPr>
        <w:t>Fokus: kontribusi Abu Nasr al-Farabi dalam logika serta relevansinya dengan logika formal dalam Teknik Informatika</w:t>
      </w:r>
    </w:p>
    <w:p>
      <w:pPr>
        <w:spacing w:after="40"/>
        <w:jc w:val="center"/>
      </w:pPr>
      <w:r>
        <w:rPr>
          <w:rFonts w:ascii="Times New Roman" w:hAnsi="Times New Roman"/>
          <w:b w:val="0"/>
          <w:sz w:val="24"/>
        </w:rPr>
        <w:t>Disusun oleh:</w:t>
      </w:r>
    </w:p>
    <w:p>
      <w:pPr>
        <w:spacing w:after="40"/>
        <w:jc w:val="center"/>
      </w:pPr>
      <w:r>
        <w:rPr>
          <w:rFonts w:ascii="Times New Roman" w:hAnsi="Times New Roman"/>
          <w:b/>
          <w:sz w:val="26"/>
        </w:rPr>
        <w:t>Farrel Ghozy Affifudin</w:t>
      </w:r>
    </w:p>
    <w:p>
      <w:pPr>
        <w:spacing w:after="40"/>
        <w:jc w:val="center"/>
      </w:pPr>
      <w:r>
        <w:rPr>
          <w:rFonts w:ascii="Times New Roman" w:hAnsi="Times New Roman"/>
          <w:b w:val="0"/>
          <w:sz w:val="24"/>
        </w:rPr>
        <w:t>NIM 452024611053</w:t>
      </w:r>
    </w:p>
    <w:p>
      <w:pPr>
        <w:spacing w:after="40"/>
        <w:jc w:val="center"/>
      </w:pPr>
      <w:r>
        <w:rPr>
          <w:rFonts w:ascii="Times New Roman" w:hAnsi="Times New Roman"/>
          <w:b w:val="0"/>
          <w:sz w:val="24"/>
        </w:rPr>
        <w:t>2026</w:t>
      </w:r>
    </w:p>
    <w:p>
      <w:pPr>
        <w:pStyle w:val="Heading1"/>
      </w:pPr>
      <w:r>
        <w:t>Abstrak</w:t>
      </w:r>
    </w:p>
    <w:p>
      <w:r>
        <w:rPr>
          <w:rFonts w:ascii="Times New Roman" w:hAnsi="Times New Roman"/>
          <w:b/>
          <w:sz w:val="24"/>
        </w:rPr>
        <w:t xml:space="preserve">Kata kunci: </w:t>
      </w:r>
      <w:r>
        <w:rPr>
          <w:rFonts w:ascii="Times New Roman" w:hAnsi="Times New Roman" w:eastAsia="Times New Roman"/>
          <w:sz w:val="24"/>
        </w:rPr>
        <w:t>pengorganisasian pengetahuan, al-Farabi, logika Arab, katalog manuskrip, basis data relasional, temu kembali informasi, kecerdasan artifisial, keamanan siber.</w:t>
      </w:r>
    </w:p>
    <w:p>
      <w:r>
        <w:br w:type="page"/>
      </w:r>
    </w:p>
    <w:p>
      <w:r>
        <w:fldChar w:fldCharType="begin"/>
      </w:r>
      <w:r>
        <w:instrText xml:space="preserve">TOC \o "1-2" \h \z \u</w:instrText>
      </w:r>
      <w:r>
        <w:fldChar w:fldCharType="separate"/>
      </w:r>
      <w:r>
        <w:rPr>
          <w:rFonts w:ascii="Times New Roman" w:hAnsi="Times New Roman"/>
          <w:sz w:val="24"/>
        </w:rPr>
        <w:t>Daftar Isi akan terisi otomatis di Microsoft Word (klik kanan → Update Field).</w:t>
      </w:r>
      <w:r>
        <w:fldChar w:fldCharType="end"/>
      </w:r>
    </w:p>
    <w:p>
      <w:pPr>
        <w:pStyle w:val="Heading1"/>
      </w:pPr>
      <w:r>
        <w:t>Daftar Tabel</w:t>
      </w:r>
    </w:p>
    <w:p>
      <w:r>
        <w:fldChar w:fldCharType="begin"/>
      </w:r>
      <w:r>
        <w:instrText xml:space="preserve">TOC \c "Tabel"</w:instrText>
      </w:r>
      <w:r>
        <w:fldChar w:fldCharType="separate"/>
      </w:r>
      <w:r>
        <w:rPr>
          <w:rFonts w:ascii="Times New Roman" w:hAnsi="Times New Roman"/>
          <w:sz w:val="24"/>
        </w:rPr>
        <w:t>Daftar Tabel akan terisi otomatis di Microsoft Word (klik kanan → Update Field).</w:t>
      </w:r>
      <w:r>
        <w:fldChar w:fldCharType="end"/>
      </w:r>
    </w:p>
    <w:p>
      <w:r>
        <w:br w:type="page"/>
      </w:r>
    </w:p>
    <w:p>
      <w:pPr>
        <w:pStyle w:val="Heading1"/>
      </w:pPr>
      <w:r>
        <w:t>1  Pendahuluan</w:t>
      </w:r>
    </w:p>
    <w:p>
      <w:pPr>
        <w:spacing w:after="120"/>
        <w:ind w:firstLine="720"/>
      </w:pPr>
      <w:r>
        <w:rPr>
          <w:rFonts w:ascii="Times New Roman" w:hAnsi="Times New Roman" w:eastAsia="Times New Roman"/>
          <w:sz w:val="24"/>
        </w:rPr>
        <w:t>Perpustakaan dalam peradaban Islam bukan sekadar tempat penyimpanan buku. Survei Algeriani dan Mohadi mencatat bahwa Bayt al-Hikmah di Baghdad memiliki sistem manajemen yang sangat terorganisasi, khususnya dalam pengumpulan dan pengatalogan buku.</w:t>
      </w:r>
      <w:r>
        <w:rPr>
          <w:sz w:val="24"/>
        </w:rPr>
        <w:footnoteReference w:id="1"/>
      </w:r>
      <w:r>
        <w:rPr>
          <w:rFonts w:ascii="Times New Roman" w:hAnsi="Times New Roman" w:eastAsia="Times New Roman"/>
          <w:sz w:val="24"/>
        </w:rPr>
        <w:t xml:space="preserve"> Pernyataan tersebut penting karena menunjukkan bahwa masalah pengorganisasian pengetahuan, yaitu bagaimana menemukan kembali apa yang telah disimpan, sudah dilembagakan jauh sebelum basis data modern. Perhatian kajian modern terhadap perpustakaan Islam pun cukup tua: kajian tentang empat perpustakaan besar Baghdad abad pertengahan telah terbit sejak 1932.</w:t>
      </w:r>
      <w:r>
        <w:rPr>
          <w:sz w:val="24"/>
        </w:rPr>
        <w:footnoteReference w:id="2"/>
      </w:r>
    </w:p>
    <w:p>
      <w:pPr>
        <w:spacing w:after="120"/>
        <w:ind w:firstLine="720"/>
      </w:pPr>
      <w:r>
        <w:rPr>
          <w:rFonts w:ascii="Times New Roman" w:hAnsi="Times New Roman" w:eastAsia="Times New Roman"/>
          <w:sz w:val="24"/>
        </w:rPr>
        <w:t>Di sisi lain, Abu Nasr al-Farabi, filsuf abad ke-10 M, menempati kedudukan sentral dalam pewarisan dan pengembangan logika Aristoteles dalam bahasa Arab.</w:t>
      </w:r>
      <w:r>
        <w:rPr>
          <w:sz w:val="24"/>
        </w:rPr>
        <w:footnoteReference w:id="3"/>
      </w:r>
      <w:r>
        <w:rPr>
          <w:rFonts w:ascii="Times New Roman" w:hAnsi="Times New Roman" w:eastAsia="Times New Roman"/>
          <w:sz w:val="24"/>
        </w:rPr>
        <w:t xml:space="preserve"> Kajian Hodges dan Druart menunjukkan bahwa komentar-komentarnya atas </w:t>
      </w:r>
      <w:r>
        <w:rPr>
          <w:rFonts w:ascii="Times New Roman" w:hAnsi="Times New Roman" w:eastAsia="Times New Roman"/>
          <w:i/>
          <w:sz w:val="24"/>
        </w:rPr>
        <w:t>Organon</w:t>
      </w:r>
      <w:r>
        <w:rPr>
          <w:rFonts w:ascii="Times New Roman" w:hAnsi="Times New Roman" w:eastAsia="Times New Roman"/>
          <w:sz w:val="24"/>
        </w:rPr>
        <w:t xml:space="preserve"> serta uraian sistematisnya tentang silogisme, demonstrasi, dan dialektika menjadikannya titik rujuk utama tradisi logika Arab-Islam.</w:t>
      </w:r>
      <w:r>
        <w:rPr>
          <w:sz w:val="24"/>
        </w:rPr>
        <w:footnoteReference w:id="4"/>
      </w:r>
      <w:r>
        <w:rPr>
          <w:rFonts w:ascii="Times New Roman" w:hAnsi="Times New Roman" w:eastAsia="Times New Roman"/>
          <w:sz w:val="24"/>
        </w:rPr>
        <w:t xml:space="preserve"> Kedudukan edisi kritis komentarnya atas </w:t>
      </w:r>
      <w:r>
        <w:rPr>
          <w:rFonts w:ascii="Times New Roman" w:hAnsi="Times New Roman" w:eastAsia="Times New Roman"/>
          <w:i/>
          <w:sz w:val="24"/>
        </w:rPr>
        <w:t>De Interpretatione</w:t>
      </w:r>
      <w:r>
        <w:rPr>
          <w:rFonts w:ascii="Times New Roman" w:hAnsi="Times New Roman" w:eastAsia="Times New Roman"/>
          <w:sz w:val="24"/>
        </w:rPr>
        <w:t xml:space="preserve"> yang disunting Zimmermann pada 1981 diketahui melalui kajian tersebut.</w:t>
      </w:r>
      <w:r>
        <w:rPr>
          <w:sz w:val="24"/>
        </w:rPr>
        <w:footnoteReference w:id="5"/>
      </w:r>
      <w:r>
        <w:rPr>
          <w:rFonts w:ascii="Times New Roman" w:hAnsi="Times New Roman" w:eastAsia="Times New Roman"/>
          <w:sz w:val="24"/>
        </w:rPr>
        <w:t xml:space="preserve"> Kajian modern menempatkan silogisme Arab, yang mencakup silogisme kategoris, modal, dan hipotetik, sebagai bidang tersendiri dari al-Farabi hingga Averroes.</w:t>
      </w:r>
      <w:r>
        <w:rPr>
          <w:sz w:val="24"/>
        </w:rPr>
        <w:footnoteReference w:id="6"/>
      </w:r>
      <w:r>
        <w:rPr>
          <w:rFonts w:ascii="Times New Roman" w:hAnsi="Times New Roman" w:eastAsia="Times New Roman"/>
          <w:sz w:val="24"/>
        </w:rPr>
        <w:t xml:space="preserve"> Tradisi ini bahkan memperluas cakupan </w:t>
      </w:r>
      <w:r>
        <w:rPr>
          <w:rFonts w:ascii="Times New Roman" w:hAnsi="Times New Roman" w:eastAsia="Times New Roman"/>
          <w:i/>
          <w:sz w:val="24"/>
        </w:rPr>
        <w:t>Organon</w:t>
      </w:r>
      <w:r>
        <w:rPr>
          <w:rFonts w:ascii="Times New Roman" w:hAnsi="Times New Roman" w:eastAsia="Times New Roman"/>
          <w:sz w:val="24"/>
        </w:rPr>
        <w:t xml:space="preserve"> hingga mencakup retorika dan puisi.</w:t>
      </w:r>
      <w:r>
        <w:rPr>
          <w:sz w:val="24"/>
        </w:rPr>
        <w:footnoteReference w:id="7"/>
      </w:r>
      <w:r>
        <w:rPr>
          <w:rFonts w:ascii="Times New Roman" w:hAnsi="Times New Roman" w:eastAsia="Times New Roman"/>
          <w:sz w:val="24"/>
        </w:rPr>
        <w:t xml:space="preserve"> Karya dialektika al-Farabi, </w:t>
      </w:r>
      <w:r>
        <w:rPr>
          <w:rFonts w:ascii="Times New Roman" w:hAnsi="Times New Roman" w:eastAsia="Times New Roman"/>
          <w:i/>
          <w:sz w:val="24"/>
        </w:rPr>
        <w:t>Kitab al-Jadal</w:t>
      </w:r>
      <w:r>
        <w:rPr>
          <w:rFonts w:ascii="Times New Roman" w:hAnsi="Times New Roman" w:eastAsia="Times New Roman"/>
          <w:sz w:val="24"/>
        </w:rPr>
        <w:t>, telah dikaji dalam monograf tersendiri,</w:t>
      </w:r>
      <w:r>
        <w:rPr>
          <w:sz w:val="24"/>
        </w:rPr>
        <w:footnoteReference w:id="8"/>
      </w:r>
      <w:r>
        <w:rPr>
          <w:rFonts w:ascii="Times New Roman" w:hAnsi="Times New Roman" w:eastAsia="Times New Roman"/>
          <w:sz w:val="24"/>
        </w:rPr>
        <w:t xml:space="preserve"> dan terjemahan Inggris atas karya-karya filsafatnya telah tersedia sejak 1969.</w:t>
      </w:r>
      <w:r>
        <w:rPr>
          <w:sz w:val="24"/>
        </w:rPr>
        <w:footnoteReference w:id="9"/>
      </w:r>
    </w:p>
    <w:p>
      <w:pPr>
        <w:spacing w:after="120"/>
        <w:ind w:firstLine="720"/>
      </w:pPr>
      <w:r>
        <w:rPr>
          <w:rFonts w:ascii="Times New Roman" w:hAnsi="Times New Roman" w:eastAsia="Times New Roman"/>
          <w:sz w:val="24"/>
        </w:rPr>
        <w:t>Relevansinya bagi Teknik Informatika terletak pada kedudukan logika formal. Model data relasional dibangun di atas kalkulus predikat terapan,</w:t>
      </w:r>
      <w:r>
        <w:rPr>
          <w:sz w:val="24"/>
        </w:rPr>
        <w:footnoteReference w:id="10"/>
      </w:r>
      <w:r>
        <w:rPr>
          <w:rFonts w:ascii="Times New Roman" w:hAnsi="Times New Roman" w:eastAsia="Times New Roman"/>
          <w:sz w:val="24"/>
        </w:rPr>
        <w:t xml:space="preserve"> temu kembali informasi telah menjadi disiplin buku teks tersendiri,</w:t>
      </w:r>
      <w:r>
        <w:rPr>
          <w:sz w:val="24"/>
        </w:rPr>
        <w:footnoteReference w:id="11"/>
      </w:r>
      <w:r>
        <w:rPr>
          <w:rFonts w:ascii="Times New Roman" w:hAnsi="Times New Roman" w:eastAsia="Times New Roman"/>
          <w:sz w:val="24"/>
        </w:rPr>
        <w:t xml:space="preserve"> dan filsafat informasi kini diakui sebagai subdisiplin filsafat.</w:t>
      </w:r>
      <w:r>
        <w:rPr>
          <w:sz w:val="24"/>
        </w:rPr>
        <w:footnoteReference w:id="12"/>
      </w:r>
      <w:r>
        <w:rPr>
          <w:rFonts w:ascii="Times New Roman" w:hAnsi="Times New Roman" w:eastAsia="Times New Roman"/>
          <w:sz w:val="24"/>
        </w:rPr>
        <w:t xml:space="preserve"> Di era masyarakat digital kontemporer, relevansi itu meluas ke tiga bidang yang dibahas tersendiri pada bagian Relevansi: algoritma dan representasi pengetahuan, kecerdasan artifisial, serta keamanan siber dan tata kelola data. Makalah ini menjawab lima pertanyaan: (1) bagaimana tradisi perpustakaan dan pengatalogan berkembang dalam peradaban Islam; (2) apa kontribusi spesifik al-Farabi terhadap logika; (3) apa persamaan dan perbedaan logika al-Farabi dengan logika formal dalam Teknik Informatika; (4) bagaimana perbandingan itu diperluas secara konseptual ke algoritma, kecerdasan artifisial, dan keamanan siber tanpa menjadi anakronisme; dan (5) nilai, etika, keterbatasan, dan pelajaran apa yang relevan bagi mahasiswa.</w:t>
      </w:r>
    </w:p>
    <w:p>
      <w:pPr>
        <w:spacing w:after="120"/>
        <w:ind w:firstLine="720"/>
      </w:pPr>
      <w:r>
        <w:rPr>
          <w:rFonts w:ascii="Times New Roman" w:hAnsi="Times New Roman" w:eastAsia="Times New Roman"/>
          <w:sz w:val="24"/>
        </w:rPr>
        <w:t>Tesis makalah ini adalah kemiripan antara pengorganisasian pengetahuan klasik dan modern bersifat fungsional, yaitu menjawab masalah temu kembali yang sejenis, bukan genealogis dalam arti garis keturunan sejarah langsung. Logika menjadi jembatan konseptual yang sah, tetapi perbedaan fondasi membatasi analogi tersebut secara tegas. Dari tesis itu ditarik refleksi kritis: keunggulan teknis menemukan kembali informasi harus diikat oleh amanah, kejujuran inferensi, dan tanggung jawab sosial di masyarakat digital.</w:t>
      </w:r>
    </w:p>
    <w:p>
      <w:pPr>
        <w:pStyle w:val="Heading1"/>
      </w:pPr>
      <w:r>
        <w:t>2  Metode Penelitian</w:t>
      </w:r>
    </w:p>
    <w:p>
      <w:pPr>
        <w:spacing w:after="120"/>
        <w:ind w:firstLine="720"/>
      </w:pPr>
      <w:r>
        <w:rPr>
          <w:rFonts w:ascii="Times New Roman" w:hAnsi="Times New Roman" w:eastAsia="Times New Roman"/>
          <w:sz w:val="24"/>
        </w:rPr>
        <w:t>Makalah ini menggunakan kajian pustaka dengan pendekatan perbandingan konseptual. Langkah kerjanya adalah menghimpun literatur tentang perpustakaan Islam, logika al-Farabi, dan logika formal dalam komputasi, kemudian membandingkan konsep-konsepnya berdasarkan fungsi dan fondasinya, bukan berdasarkan dugaan pengaruh sejarah.</w:t>
      </w:r>
    </w:p>
    <w:p>
      <w:pPr>
        <w:spacing w:after="120"/>
        <w:ind w:firstLine="720"/>
      </w:pPr>
      <w:r>
        <w:rPr>
          <w:rFonts w:ascii="Times New Roman" w:hAnsi="Times New Roman" w:eastAsia="Times New Roman"/>
          <w:sz w:val="24"/>
        </w:rPr>
        <w:t xml:space="preserve">Cakupan sumber terdiri atas dua kelompok. Kelompok pertama adalah sumber yang diperiksa teks penuhnya: entri </w:t>
      </w:r>
      <w:r>
        <w:rPr>
          <w:rFonts w:ascii="Times New Roman" w:hAnsi="Times New Roman" w:eastAsia="Times New Roman"/>
          <w:i/>
          <w:sz w:val="24"/>
        </w:rPr>
        <w:t>Stanford Encyclopedia of Philosophy</w:t>
      </w:r>
      <w:r>
        <w:rPr>
          <w:rFonts w:ascii="Times New Roman" w:hAnsi="Times New Roman" w:eastAsia="Times New Roman"/>
          <w:sz w:val="24"/>
        </w:rPr>
        <w:t xml:space="preserve"> tentang logika dan bahasa al-Farabi, logika Aristoteles, Ibnu Sina, dan informasi, serta dua artikel jurnal tentang Bayt al-Hikmah dan model data relasional. Kelompok kedua adalah literatur pendukung yang digunakan untuk konteks umum tanpa kutipan halaman karena teks penuhnya belum diakses: kajian tentang silogisme Arab, retorika dan puisi dalam filsafat Arab, dialektika al-Farabi, terjemahan karya al-Farabi, gerakan penerjemahan Graeco-Arab, budaya buku Arab, kajian awal perpustakaan Baghdad, dan buku teks temu kembali informasi.</w:t>
      </w:r>
    </w:p>
    <w:p>
      <w:pPr>
        <w:spacing w:after="120"/>
        <w:ind w:firstLine="720"/>
      </w:pPr>
      <w:r>
        <w:rPr>
          <w:rFonts w:ascii="Times New Roman" w:hAnsi="Times New Roman" w:eastAsia="Times New Roman"/>
          <w:sz w:val="24"/>
        </w:rPr>
        <w:t xml:space="preserve">Naskah ini membedakan tiga hal: fakta yang didukung referensi, interpretasi penulis yang dinyatakan eksplisit sebagai interpretasi penulis, dan analogi konseptual yang dinyatakan eksplisit sebagai analogi. Keterbatasannya adalah klaim dari kelompok kedua hanya bersifat umum. Angka-angka rinci tentang tahun pendirian atau jumlah koleksi perpustakaan tidak dibahas karena memerlukan silang dengan sumber primer seperti </w:t>
      </w:r>
      <w:r>
        <w:rPr>
          <w:rFonts w:ascii="Times New Roman" w:hAnsi="Times New Roman" w:eastAsia="Times New Roman"/>
          <w:i/>
          <w:sz w:val="24"/>
        </w:rPr>
        <w:t>Fihrist</w:t>
      </w:r>
      <w:r>
        <w:rPr>
          <w:rFonts w:ascii="Times New Roman" w:hAnsi="Times New Roman" w:eastAsia="Times New Roman"/>
          <w:sz w:val="24"/>
        </w:rPr>
        <w:t xml:space="preserve"> Ibn al-Nadim dan teks penuh kajian sejarah yang belum diakses.</w:t>
      </w:r>
    </w:p>
    <w:p>
      <w:pPr>
        <w:pStyle w:val="Heading1"/>
      </w:pPr>
      <w:r>
        <w:t>3  Kajian Historis: Perpustakaan dan Pengetahuan dalam Peradaban Islam</w:t>
      </w:r>
    </w:p>
    <w:p>
      <w:pPr>
        <w:pStyle w:val="Heading2"/>
      </w:pPr>
      <w:r>
        <w:t>3.1  Bayt al-Hikmah dan tradisi pengatalogan</w:t>
      </w:r>
    </w:p>
    <w:p>
      <w:pPr>
        <w:spacing w:after="120"/>
        <w:ind w:firstLine="720"/>
      </w:pPr>
      <w:r>
        <w:rPr>
          <w:rFonts w:ascii="Times New Roman" w:hAnsi="Times New Roman" w:eastAsia="Times New Roman"/>
          <w:sz w:val="24"/>
        </w:rPr>
        <w:t>Konteks intelektual Baghdad abad ke-8 hingga ke-10 M dibentuk oleh gerakan penerjemahan karya Yunani ke bahasa Arab.</w:t>
      </w:r>
      <w:r>
        <w:rPr>
          <w:sz w:val="24"/>
        </w:rPr>
        <w:footnoteReference w:id="13"/>
      </w:r>
      <w:r>
        <w:rPr>
          <w:rFonts w:ascii="Times New Roman" w:hAnsi="Times New Roman" w:eastAsia="Times New Roman"/>
          <w:sz w:val="24"/>
        </w:rPr>
        <w:t xml:space="preserve"> Dalam ekosistem inilah institusi ilmu seperti Bayt al-Hikmah tumbuh. Menurut survei Algeriani dan Mohadi, institusi ini memiliki sistem manajemen yang sangat terorganisasi, terutama dalam pengumpulan dan pengatalogan buku.</w:t>
      </w:r>
      <w:r>
        <w:rPr>
          <w:sz w:val="24"/>
        </w:rPr>
        <w:footnoteReference w:id="14"/>
      </w:r>
      <w:r>
        <w:rPr>
          <w:rFonts w:ascii="Times New Roman" w:hAnsi="Times New Roman" w:eastAsia="Times New Roman"/>
          <w:sz w:val="24"/>
        </w:rPr>
        <w:t xml:space="preserve"> Klaim tersebut menempatkan tiga unsur peradaban secara bersamaan. Tokohnya adalah para penerjemah, penyalin, dan pustakawan di lingkungan Abbasiyah awal. Karyanya adalah korpus terjemahan serta manuskrip yang dikumpulkan dan didaftar. Konteksnya adalah negara yang membiayai penerjemahan sebagai proyek kebudayaan, bukan kegiatan perorangan yang terpisah.</w:t>
      </w:r>
    </w:p>
    <w:p>
      <w:pPr>
        <w:spacing w:after="120"/>
        <w:ind w:firstLine="720"/>
      </w:pPr>
      <w:r>
        <w:rPr>
          <w:rFonts w:ascii="Times New Roman" w:hAnsi="Times New Roman" w:eastAsia="Times New Roman"/>
          <w:sz w:val="24"/>
        </w:rPr>
        <w:t>Batas sumber ini perlu dinyatakan. Artikel tersebut merupakan survei sekunder sehingga makalah ini hanya mengambil klaim umum tentang keberadaan praktik pengatalogan yang sistematis. Budaya buku Arab secara umum, sebagai wadah tradisi manuskrip tersebut, dibahas dalam kajian Pedersen sebagai konteks.</w:t>
      </w:r>
      <w:r>
        <w:rPr>
          <w:sz w:val="24"/>
        </w:rPr>
        <w:footnoteReference w:id="15"/>
      </w:r>
      <w:r>
        <w:rPr>
          <w:rFonts w:ascii="Times New Roman" w:hAnsi="Times New Roman" w:eastAsia="Times New Roman"/>
          <w:sz w:val="24"/>
        </w:rPr>
        <w:t xml:space="preserve"> Kajian tentang empat perpustakaan besar Baghdad abad pertengahan yang terbit sejak 1932 menunjukkan bahwa perhatian historiografi modern terhadap fenomena ini sudah berlangsung lama, sehingga pembahasan ini bukan nostalgia baru.</w:t>
      </w:r>
      <w:r>
        <w:rPr>
          <w:sz w:val="24"/>
        </w:rPr>
        <w:footnoteReference w:id="16"/>
      </w:r>
      <w:r>
        <w:rPr>
          <w:rFonts w:ascii="Times New Roman" w:hAnsi="Times New Roman" w:eastAsia="Times New Roman"/>
          <w:sz w:val="24"/>
        </w:rPr>
        <w:t xml:space="preserve"> Sebagai interpretasi penulis, yang dilembagakan pada masa itu bukan sekadar gedung, melainkan rantai kerja: seleksi naskah, penyalinan, pemberian judul dan identitas, penyimpanan menurut kelompok ilmu, dan pembuatan daftar sebagai alat temu kembali. Rantai kerja inilah yang secara fungsional mirip dengan alur ingest, katalogisasi, dan indeksasi dalam perpustakaan digital modern, walaupun teknologinya berbeda sama sekali.</w:t>
      </w:r>
    </w:p>
    <w:p>
      <w:pPr>
        <w:pStyle w:val="Heading2"/>
      </w:pPr>
      <w:r>
        <w:t>3.2  Kronologi sejarah yang dipakai makalah</w:t>
      </w:r>
    </w:p>
    <w:p>
      <w:pPr>
        <w:spacing w:after="120"/>
        <w:ind w:firstLine="720"/>
      </w:pPr>
      <w:r>
        <w:rPr>
          <w:rFonts w:ascii="Times New Roman" w:hAnsi="Times New Roman" w:eastAsia="Times New Roman"/>
          <w:sz w:val="24"/>
        </w:rPr>
        <w:t>Tabel 1 merangkum kronologi minimal yang benar-benar dipakai sebagai bukti dalam makalah. Tabel ini menjadi ilustrasi kronologi sejarah yang dituntut ketentuan penulisan. Setiap baris dibatasi pada klaim yang terverifikasi; hal yang belum disilang sumber primer dinyatakan sebagai keterbatasan dan tidak dimasukkan sebagai fakta.</w:t>
      </w:r>
    </w:p>
    <w:p>
      <w:pPr>
        <w:spacing w:before="160" w:after="80"/>
        <w:jc w:val="center"/>
      </w:pPr>
      <w:r>
        <w:rPr>
          <w:rFonts w:ascii="Times New Roman" w:hAnsi="Times New Roman"/>
          <w:b/>
          <w:sz w:val="22"/>
        </w:rPr>
        <w:t xml:space="preserve">Tabel 1. </w:t>
      </w:r>
      <w:r>
        <w:fldChar w:fldCharType="begin"/>
      </w:r>
      <w:r>
        <w:instrText xml:space="preserve">SEQ Tabel \* ARABIC</w:instrText>
      </w:r>
      <w:r>
        <w:fldChar w:fldCharType="separate"/>
      </w:r>
      <w:r>
        <w:rPr>
          <w:rFonts w:ascii="Times New Roman" w:hAnsi="Times New Roman"/>
          <w:sz w:val="22"/>
        </w:rPr>
        <w:t>1</w:t>
      </w:r>
      <w:r>
        <w:fldChar w:fldCharType="end"/>
      </w:r>
      <w:r>
        <w:rPr>
          <w:rFonts w:ascii="Times New Roman" w:hAnsi="Times New Roman"/>
          <w:sz w:val="22"/>
        </w:rPr>
        <w:t xml:space="preserve"> Kronologi minimal: dari gerakan penerjemahan hingga basis data relasional</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
              <w:rPr>
                <w:rFonts w:ascii="Times New Roman" w:hAnsi="Times New Roman"/>
                <w:b/>
                <w:sz w:val="20"/>
              </w:rPr>
              <w:t>Periode / Tahun</w:t>
            </w:r>
          </w:p>
        </w:tc>
        <w:tc>
          <w:tcPr>
            <w:tcW w:type="dxa" w:w="3009"/>
          </w:tcPr>
          <w:p>
            <w:r/>
            <w:r>
              <w:rPr>
                <w:rFonts w:ascii="Times New Roman" w:hAnsi="Times New Roman"/>
                <w:b/>
                <w:sz w:val="20"/>
              </w:rPr>
              <w:t>Peristiwa dan konteks peradaban</w:t>
            </w:r>
          </w:p>
        </w:tc>
        <w:tc>
          <w:tcPr>
            <w:tcW w:type="dxa" w:w="3009"/>
          </w:tcPr>
          <w:p>
            <w:r/>
            <w:r>
              <w:rPr>
                <w:rFonts w:ascii="Times New Roman" w:hAnsi="Times New Roman"/>
                <w:b/>
                <w:sz w:val="20"/>
              </w:rPr>
              <w:t>Bukti yang dipakai makalah</w:t>
            </w:r>
          </w:p>
        </w:tc>
      </w:tr>
      <w:tr>
        <w:tc>
          <w:tcPr>
            <w:tcW w:type="dxa" w:w="3009"/>
          </w:tcPr>
          <w:p>
            <w:r/>
            <w:r>
              <w:rPr>
                <w:rFonts w:ascii="Times New Roman" w:hAnsi="Times New Roman" w:eastAsia="Times New Roman"/>
                <w:sz w:val="20"/>
              </w:rPr>
              <w:t>Abad ke-8</w:t>
            </w:r>
            <w:r>
              <w:rPr>
                <w:rFonts w:ascii="Times New Roman" w:hAnsi="Times New Roman" w:eastAsia="Times New Roman"/>
                <w:sz w:val="20"/>
              </w:rPr>
              <w:t>–10 M</w:t>
            </w:r>
          </w:p>
        </w:tc>
        <w:tc>
          <w:tcPr>
            <w:tcW w:type="dxa" w:w="3009"/>
          </w:tcPr>
          <w:p>
            <w:r/>
            <w:r>
              <w:rPr>
                <w:rFonts w:ascii="Times New Roman" w:hAnsi="Times New Roman" w:eastAsia="Times New Roman"/>
                <w:sz w:val="20"/>
              </w:rPr>
              <w:t>Gerakan penerjemahan Graeco-Arab di Baghdad dan masyarakat Abbasiyah awal sebagai konteks intelektual</w:t>
            </w:r>
          </w:p>
        </w:tc>
        <w:tc>
          <w:tcPr>
            <w:tcW w:type="dxa" w:w="3009"/>
          </w:tcPr>
          <w:p>
            <w:r/>
            <w:r>
              <w:rPr>
                <w:rFonts w:ascii="Times New Roman" w:hAnsi="Times New Roman" w:eastAsia="Times New Roman"/>
                <w:sz w:val="20"/>
              </w:rPr>
              <w:t>Konteks umum menurut Gutas</w:t>
            </w:r>
            <w:r>
              <w:rPr>
                <w:sz w:val="20"/>
              </w:rPr>
              <w:footnoteReference w:id="17"/>
            </w:r>
          </w:p>
        </w:tc>
      </w:tr>
      <w:tr>
        <w:tc>
          <w:tcPr>
            <w:tcW w:type="dxa" w:w="3009"/>
          </w:tcPr>
          <w:p>
            <w:r/>
            <w:r>
              <w:rPr>
                <w:rFonts w:ascii="Times New Roman" w:hAnsi="Times New Roman" w:eastAsia="Times New Roman"/>
                <w:sz w:val="20"/>
              </w:rPr>
              <w:t>Bayt al-Hikmah (abad Abbasiyah awal)</w:t>
            </w:r>
          </w:p>
        </w:tc>
        <w:tc>
          <w:tcPr>
            <w:tcW w:type="dxa" w:w="3009"/>
          </w:tcPr>
          <w:p>
            <w:r/>
            <w:r>
              <w:rPr>
                <w:rFonts w:ascii="Times New Roman" w:hAnsi="Times New Roman" w:eastAsia="Times New Roman"/>
                <w:sz w:val="20"/>
              </w:rPr>
              <w:t>Institusi ilmu dengan pengumpulan dan pengatalogan buku yang terorganisasi</w:t>
            </w:r>
          </w:p>
        </w:tc>
        <w:tc>
          <w:tcPr>
            <w:tcW w:type="dxa" w:w="3009"/>
          </w:tcPr>
          <w:p>
            <w:r/>
            <w:r>
              <w:rPr>
                <w:rFonts w:ascii="Times New Roman" w:hAnsi="Times New Roman" w:eastAsia="Times New Roman"/>
                <w:sz w:val="20"/>
              </w:rPr>
              <w:t>Survei sekunder Algeriani dan Mohadi</w:t>
            </w:r>
            <w:r>
              <w:rPr>
                <w:sz w:val="20"/>
              </w:rPr>
              <w:footnoteReference w:id="18"/>
            </w:r>
          </w:p>
        </w:tc>
      </w:tr>
      <w:tr>
        <w:tc>
          <w:tcPr>
            <w:tcW w:type="dxa" w:w="3009"/>
          </w:tcPr>
          <w:p>
            <w:r/>
            <w:r>
              <w:rPr>
                <w:rFonts w:ascii="Times New Roman" w:hAnsi="Times New Roman" w:eastAsia="Times New Roman"/>
                <w:sz w:val="20"/>
              </w:rPr>
              <w:t>Abad ke-10 M (w. al-Farabi 950 M)</w:t>
            </w:r>
          </w:p>
        </w:tc>
        <w:tc>
          <w:tcPr>
            <w:tcW w:type="dxa" w:w="3009"/>
          </w:tcPr>
          <w:p>
            <w:r/>
            <w:r>
              <w:rPr>
                <w:rFonts w:ascii="Times New Roman" w:hAnsi="Times New Roman" w:eastAsia="Times New Roman"/>
                <w:sz w:val="20"/>
              </w:rPr>
              <w:t xml:space="preserve">Sistematisasi logika Aristoteles dalam bahasa Arab; komentar atas </w:t>
            </w:r>
            <w:r>
              <w:rPr>
                <w:rFonts w:ascii="Times New Roman" w:hAnsi="Times New Roman" w:eastAsia="Times New Roman"/>
                <w:i/>
                <w:sz w:val="20"/>
              </w:rPr>
              <w:t>Organon</w:t>
            </w:r>
          </w:p>
        </w:tc>
        <w:tc>
          <w:tcPr>
            <w:tcW w:type="dxa" w:w="3009"/>
          </w:tcPr>
          <w:p>
            <w:r/>
            <w:r>
              <w:rPr>
                <w:rFonts w:ascii="Times New Roman" w:hAnsi="Times New Roman" w:eastAsia="Times New Roman"/>
                <w:sz w:val="20"/>
              </w:rPr>
              <w:t>Kajian Hodges dan Druart; entri umum Druart</w:t>
            </w:r>
            <w:r>
              <w:rPr>
                <w:sz w:val="20"/>
              </w:rPr>
              <w:footnoteReference w:id="19"/>
            </w:r>
            <w:r>
              <w:rPr>
                <w:sz w:val="20"/>
              </w:rPr>
              <w:footnoteReference w:id="20"/>
            </w:r>
          </w:p>
        </w:tc>
      </w:tr>
      <w:tr>
        <w:tc>
          <w:tcPr>
            <w:tcW w:type="dxa" w:w="3009"/>
          </w:tcPr>
          <w:p>
            <w:r/>
            <w:r>
              <w:rPr>
                <w:rFonts w:ascii="Times New Roman" w:hAnsi="Times New Roman" w:eastAsia="Times New Roman"/>
                <w:sz w:val="20"/>
              </w:rPr>
              <w:t>1981</w:t>
            </w:r>
          </w:p>
        </w:tc>
        <w:tc>
          <w:tcPr>
            <w:tcW w:type="dxa" w:w="3009"/>
          </w:tcPr>
          <w:p>
            <w:r/>
            <w:r>
              <w:rPr>
                <w:rFonts w:ascii="Times New Roman" w:hAnsi="Times New Roman" w:eastAsia="Times New Roman"/>
                <w:sz w:val="20"/>
              </w:rPr>
              <w:t xml:space="preserve">Edisi kritis komentar al-Farabi atas </w:t>
            </w:r>
            <w:r>
              <w:rPr>
                <w:rFonts w:ascii="Times New Roman" w:hAnsi="Times New Roman" w:eastAsia="Times New Roman"/>
                <w:i/>
                <w:sz w:val="20"/>
              </w:rPr>
              <w:t>De Interpretatione</w:t>
            </w:r>
            <w:r>
              <w:rPr>
                <w:rFonts w:ascii="Times New Roman" w:hAnsi="Times New Roman" w:eastAsia="Times New Roman"/>
                <w:sz w:val="20"/>
              </w:rPr>
              <w:t xml:space="preserve"> oleh Zimmermann</w:t>
            </w:r>
          </w:p>
        </w:tc>
        <w:tc>
          <w:tcPr>
            <w:tcW w:type="dxa" w:w="3009"/>
          </w:tcPr>
          <w:p>
            <w:r/>
            <w:r>
              <w:rPr>
                <w:rFonts w:ascii="Times New Roman" w:hAnsi="Times New Roman" w:eastAsia="Times New Roman"/>
                <w:sz w:val="20"/>
              </w:rPr>
              <w:t>Keberadaan edisi sebagai bukti bobot filologis</w:t>
            </w:r>
            <w:r>
              <w:rPr>
                <w:sz w:val="20"/>
              </w:rPr>
              <w:footnoteReference w:id="21"/>
            </w:r>
          </w:p>
        </w:tc>
      </w:tr>
      <w:tr>
        <w:tc>
          <w:tcPr>
            <w:tcW w:type="dxa" w:w="3009"/>
          </w:tcPr>
          <w:p>
            <w:r/>
            <w:r>
              <w:rPr>
                <w:rFonts w:ascii="Times New Roman" w:hAnsi="Times New Roman" w:eastAsia="Times New Roman"/>
                <w:sz w:val="20"/>
              </w:rPr>
              <w:t>1932</w:t>
            </w:r>
          </w:p>
        </w:tc>
        <w:tc>
          <w:tcPr>
            <w:tcW w:type="dxa" w:w="3009"/>
          </w:tcPr>
          <w:p>
            <w:r/>
            <w:r>
              <w:rPr>
                <w:rFonts w:ascii="Times New Roman" w:hAnsi="Times New Roman" w:eastAsia="Times New Roman"/>
                <w:sz w:val="20"/>
              </w:rPr>
              <w:t>Kajian modern tentang empat perpustakaan besar Baghdad abad pertengahan</w:t>
            </w:r>
          </w:p>
        </w:tc>
        <w:tc>
          <w:tcPr>
            <w:tcW w:type="dxa" w:w="3009"/>
          </w:tcPr>
          <w:p>
            <w:r/>
            <w:r>
              <w:rPr>
                <w:rFonts w:ascii="Times New Roman" w:hAnsi="Times New Roman" w:eastAsia="Times New Roman"/>
                <w:sz w:val="20"/>
              </w:rPr>
              <w:t>Bibliografi Mackensen sebagai penanda historiografi</w:t>
            </w:r>
            <w:r>
              <w:rPr>
                <w:sz w:val="20"/>
              </w:rPr>
              <w:footnoteReference w:id="22"/>
            </w:r>
          </w:p>
        </w:tc>
      </w:tr>
      <w:tr>
        <w:tc>
          <w:tcPr>
            <w:tcW w:type="dxa" w:w="3009"/>
          </w:tcPr>
          <w:p>
            <w:r/>
            <w:r>
              <w:rPr>
                <w:rFonts w:ascii="Times New Roman" w:hAnsi="Times New Roman" w:eastAsia="Times New Roman"/>
                <w:sz w:val="20"/>
              </w:rPr>
              <w:t>1970</w:t>
            </w:r>
          </w:p>
        </w:tc>
        <w:tc>
          <w:tcPr>
            <w:tcW w:type="dxa" w:w="3009"/>
          </w:tcPr>
          <w:p>
            <w:r/>
            <w:r>
              <w:rPr>
                <w:rFonts w:ascii="Times New Roman" w:hAnsi="Times New Roman" w:eastAsia="Times New Roman"/>
                <w:sz w:val="20"/>
              </w:rPr>
              <w:t>Model data relasional Codd: kalkulus predikat terapan dan katalog sistem</w:t>
            </w:r>
          </w:p>
        </w:tc>
        <w:tc>
          <w:tcPr>
            <w:tcW w:type="dxa" w:w="3009"/>
          </w:tcPr>
          <w:p>
            <w:r/>
            <w:r>
              <w:rPr>
                <w:rFonts w:ascii="Times New Roman" w:hAnsi="Times New Roman" w:eastAsia="Times New Roman"/>
                <w:sz w:val="20"/>
              </w:rPr>
              <w:t>Teks penuh Codd, hlm. 381</w:t>
            </w:r>
            <w:r>
              <w:rPr>
                <w:sz w:val="20"/>
              </w:rPr>
              <w:footnoteReference w:id="23"/>
            </w:r>
          </w:p>
        </w:tc>
      </w:tr>
      <w:tr>
        <w:tc>
          <w:tcPr>
            <w:tcW w:type="dxa" w:w="3009"/>
          </w:tcPr>
          <w:p>
            <w:r/>
            <w:r>
              <w:rPr>
                <w:rFonts w:ascii="Times New Roman" w:hAnsi="Times New Roman" w:eastAsia="Times New Roman"/>
                <w:sz w:val="20"/>
              </w:rPr>
              <w:t>2008 dan 2023</w:t>
            </w:r>
          </w:p>
        </w:tc>
        <w:tc>
          <w:tcPr>
            <w:tcW w:type="dxa" w:w="3009"/>
          </w:tcPr>
          <w:p>
            <w:r/>
            <w:r>
              <w:rPr>
                <w:rFonts w:ascii="Times New Roman" w:hAnsi="Times New Roman" w:eastAsia="Times New Roman"/>
                <w:sz w:val="20"/>
              </w:rPr>
              <w:t>Temu kembali informasi sebagai disiplin buku teks; filsafat informasi sebagai subdisiplin</w:t>
            </w:r>
          </w:p>
        </w:tc>
        <w:tc>
          <w:tcPr>
            <w:tcW w:type="dxa" w:w="3009"/>
          </w:tcPr>
          <w:p>
            <w:r/>
            <w:r>
              <w:rPr>
                <w:rFonts w:ascii="Times New Roman" w:hAnsi="Times New Roman" w:eastAsia="Times New Roman"/>
                <w:sz w:val="20"/>
              </w:rPr>
              <w:t>Manning dkk. dan Adriaans sebagai konteks modern</w:t>
            </w:r>
            <w:r>
              <w:rPr>
                <w:sz w:val="20"/>
              </w:rPr>
              <w:footnoteReference w:id="24"/>
            </w:r>
            <w:r>
              <w:rPr>
                <w:sz w:val="20"/>
              </w:rPr>
              <w:footnoteReference w:id="25"/>
            </w:r>
          </w:p>
        </w:tc>
      </w:tr>
    </w:tbl>
    <w:p>
      <w:pPr>
        <w:spacing w:before="40"/>
      </w:pPr>
      <w:r>
        <w:rPr>
          <w:rFonts w:ascii="Times New Roman" w:hAnsi="Times New Roman"/>
          <w:sz w:val="20"/>
        </w:rPr>
        <w:t xml:space="preserve">Sumber: </w:t>
      </w:r>
      <w:r>
        <w:rPr>
          <w:rFonts w:ascii="Times New Roman" w:hAnsi="Times New Roman" w:eastAsia="Times New Roman"/>
          <w:sz w:val="20"/>
        </w:rPr>
        <w:t xml:space="preserve">Tabel disusun penulis dari sumber yang dirujuk makalah. Angka tahun pendirian Bayt al-Hikmah dan jumlah koleksinya sengaja tidak dicantumkan karena memerlukan silang dengan </w:t>
      </w:r>
      <w:r>
        <w:rPr>
          <w:rFonts w:ascii="Times New Roman" w:hAnsi="Times New Roman" w:eastAsia="Times New Roman"/>
          <w:i/>
          <w:sz w:val="20"/>
        </w:rPr>
        <w:t>Fihris</w:t>
      </w:r>
    </w:p>
    <w:p>
      <w:pPr>
        <w:spacing w:after="120"/>
        <w:ind w:firstLine="720"/>
      </w:pPr>
      <w:r>
        <w:rPr>
          <w:rFonts w:ascii="Times New Roman" w:hAnsi="Times New Roman" w:eastAsia="Times New Roman"/>
          <w:sz w:val="24"/>
        </w:rPr>
        <w:t>Implikasi kronologi tersebut ada dua. Pertama, jarak waktu yang panjang antara al-Farabi (abad ke-10) dan Codd (1970) menutup peluang klaim pengaruh langsung; yang tersisa adalah perbandingan fungsional. Kedua, kesinambungan yang dapat dilacak justru berada di dalam tradisi logika sendiri, dari al-Farabi ke Ibnu Sina dan Averroes, bukan dari logika klasik langsung ke perangkat lunak modern.</w:t>
      </w:r>
    </w:p>
    <w:p>
      <w:pPr>
        <w:pStyle w:val="Heading2"/>
      </w:pPr>
      <w:r>
        <w:t>3.3  al-Farabi dalam tradisi logika</w:t>
      </w:r>
    </w:p>
    <w:p>
      <w:pPr>
        <w:spacing w:after="120"/>
        <w:ind w:firstLine="720"/>
      </w:pPr>
      <w:r>
        <w:rPr>
          <w:rFonts w:ascii="Times New Roman" w:hAnsi="Times New Roman" w:eastAsia="Times New Roman"/>
          <w:sz w:val="24"/>
        </w:rPr>
        <w:t>Al-Farabi hidup dalam dunia yang dibentuk gerakan penerjemahan tersebut. Korpus logika Aristoteles telah tersedia dalam bahasa Arab dan membutuhkan sistematisasi. Gambaran umum riwayat intelektualnya merujuk pada entri umum Druart, sedangkan seluruh klaim logika yang spesifik merujuk pada kajian Hodges dan Druart.</w:t>
      </w:r>
      <w:r>
        <w:rPr>
          <w:sz w:val="24"/>
        </w:rPr>
        <w:footnoteReference w:id="26"/>
      </w:r>
      <w:r>
        <w:rPr>
          <w:sz w:val="24"/>
        </w:rPr>
        <w:footnoteReference w:id="27"/>
      </w:r>
    </w:p>
    <w:p>
      <w:pPr>
        <w:spacing w:after="120"/>
        <w:ind w:firstLine="720"/>
      </w:pPr>
      <w:r>
        <w:rPr>
          <w:rFonts w:ascii="Times New Roman" w:hAnsi="Times New Roman" w:eastAsia="Times New Roman"/>
          <w:sz w:val="24"/>
        </w:rPr>
        <w:t xml:space="preserve">Kedudukan al-Farabi bukan sekadar komentator pasif. Pertama, keberadaan edisi kritis atas komentarnya terhadap </w:t>
      </w:r>
      <w:r>
        <w:rPr>
          <w:rFonts w:ascii="Times New Roman" w:hAnsi="Times New Roman" w:eastAsia="Times New Roman"/>
          <w:i/>
          <w:sz w:val="24"/>
        </w:rPr>
        <w:t>De Interpretatione</w:t>
      </w:r>
      <w:r>
        <w:rPr>
          <w:rFonts w:ascii="Times New Roman" w:hAnsi="Times New Roman" w:eastAsia="Times New Roman"/>
          <w:sz w:val="24"/>
        </w:rPr>
        <w:t xml:space="preserve"> menunjukkan bobot filologis karya logikanya.</w:t>
      </w:r>
      <w:r>
        <w:rPr>
          <w:sz w:val="24"/>
        </w:rPr>
        <w:footnoteReference w:id="28"/>
      </w:r>
      <w:r>
        <w:rPr>
          <w:rFonts w:ascii="Times New Roman" w:hAnsi="Times New Roman" w:eastAsia="Times New Roman"/>
          <w:sz w:val="24"/>
        </w:rPr>
        <w:t xml:space="preserve"> Kedua, kajian kontemporer menempatkan kontribusinya dalam busur panjang silogisme Arab dari al-Farabi hingga Averroes yang mencakup silogisme kategoris, modal, dan hipotetik.</w:t>
      </w:r>
      <w:r>
        <w:rPr>
          <w:sz w:val="24"/>
        </w:rPr>
        <w:footnoteReference w:id="29"/>
      </w:r>
      <w:r>
        <w:rPr>
          <w:rFonts w:ascii="Times New Roman" w:hAnsi="Times New Roman" w:eastAsia="Times New Roman"/>
          <w:sz w:val="24"/>
        </w:rPr>
        <w:t xml:space="preserve"> Ketiga, kurikulum logika sembilan bagian, mulai dari </w:t>
      </w:r>
      <w:r>
        <w:rPr>
          <w:rFonts w:ascii="Times New Roman" w:hAnsi="Times New Roman" w:eastAsia="Times New Roman"/>
          <w:i/>
          <w:sz w:val="24"/>
        </w:rPr>
        <w:t>Eisagoge</w:t>
      </w:r>
      <w:r>
        <w:rPr>
          <w:rFonts w:ascii="Times New Roman" w:hAnsi="Times New Roman" w:eastAsia="Times New Roman"/>
          <w:sz w:val="24"/>
        </w:rPr>
        <w:t xml:space="preserve">, </w:t>
      </w:r>
      <w:r>
        <w:rPr>
          <w:rFonts w:ascii="Times New Roman" w:hAnsi="Times New Roman" w:eastAsia="Times New Roman"/>
          <w:i/>
          <w:sz w:val="24"/>
        </w:rPr>
        <w:t>Categories</w:t>
      </w:r>
      <w:r>
        <w:rPr>
          <w:rFonts w:ascii="Times New Roman" w:hAnsi="Times New Roman" w:eastAsia="Times New Roman"/>
          <w:sz w:val="24"/>
        </w:rPr>
        <w:t xml:space="preserve">, </w:t>
      </w:r>
      <w:r>
        <w:rPr>
          <w:rFonts w:ascii="Times New Roman" w:hAnsi="Times New Roman" w:eastAsia="Times New Roman"/>
          <w:i/>
          <w:sz w:val="24"/>
        </w:rPr>
        <w:t>De interpretatione</w:t>
      </w:r>
      <w:r>
        <w:rPr>
          <w:rFonts w:ascii="Times New Roman" w:hAnsi="Times New Roman" w:eastAsia="Times New Roman"/>
          <w:sz w:val="24"/>
        </w:rPr>
        <w:t xml:space="preserve">, </w:t>
      </w:r>
      <w:r>
        <w:rPr>
          <w:rFonts w:ascii="Times New Roman" w:hAnsi="Times New Roman" w:eastAsia="Times New Roman"/>
          <w:i/>
          <w:sz w:val="24"/>
        </w:rPr>
        <w:t>Syllogism</w:t>
      </w:r>
      <w:r>
        <w:rPr>
          <w:rFonts w:ascii="Times New Roman" w:hAnsi="Times New Roman" w:eastAsia="Times New Roman"/>
          <w:sz w:val="24"/>
        </w:rPr>
        <w:t xml:space="preserve">, </w:t>
      </w:r>
      <w:r>
        <w:rPr>
          <w:rFonts w:ascii="Times New Roman" w:hAnsi="Times New Roman" w:eastAsia="Times New Roman"/>
          <w:i/>
          <w:sz w:val="24"/>
        </w:rPr>
        <w:t>Demonstration</w:t>
      </w:r>
      <w:r>
        <w:rPr>
          <w:rFonts w:ascii="Times New Roman" w:hAnsi="Times New Roman" w:eastAsia="Times New Roman"/>
          <w:sz w:val="24"/>
        </w:rPr>
        <w:t xml:space="preserve">, </w:t>
      </w:r>
      <w:r>
        <w:rPr>
          <w:rFonts w:ascii="Times New Roman" w:hAnsi="Times New Roman" w:eastAsia="Times New Roman"/>
          <w:i/>
          <w:sz w:val="24"/>
        </w:rPr>
        <w:t>Dialectic</w:t>
      </w:r>
      <w:r>
        <w:rPr>
          <w:rFonts w:ascii="Times New Roman" w:hAnsi="Times New Roman" w:eastAsia="Times New Roman"/>
          <w:sz w:val="24"/>
        </w:rPr>
        <w:t xml:space="preserve">, </w:t>
      </w:r>
      <w:r>
        <w:rPr>
          <w:rFonts w:ascii="Times New Roman" w:hAnsi="Times New Roman" w:eastAsia="Times New Roman"/>
          <w:i/>
          <w:sz w:val="24"/>
        </w:rPr>
        <w:t>Sophistics</w:t>
      </w:r>
      <w:r>
        <w:rPr>
          <w:rFonts w:ascii="Times New Roman" w:hAnsi="Times New Roman" w:eastAsia="Times New Roman"/>
          <w:sz w:val="24"/>
        </w:rPr>
        <w:t xml:space="preserve">, hingga </w:t>
      </w:r>
      <w:r>
        <w:rPr>
          <w:rFonts w:ascii="Times New Roman" w:hAnsi="Times New Roman" w:eastAsia="Times New Roman"/>
          <w:i/>
          <w:sz w:val="24"/>
        </w:rPr>
        <w:t>Rhetoric</w:t>
      </w:r>
      <w:r>
        <w:rPr>
          <w:rFonts w:ascii="Times New Roman" w:hAnsi="Times New Roman" w:eastAsia="Times New Roman"/>
          <w:sz w:val="24"/>
        </w:rPr>
        <w:t xml:space="preserve"> dan </w:t>
      </w:r>
      <w:r>
        <w:rPr>
          <w:rFonts w:ascii="Times New Roman" w:hAnsi="Times New Roman" w:eastAsia="Times New Roman"/>
          <w:i/>
          <w:sz w:val="24"/>
        </w:rPr>
        <w:t>Poetics</w:t>
      </w:r>
      <w:r>
        <w:rPr>
          <w:rFonts w:ascii="Times New Roman" w:hAnsi="Times New Roman" w:eastAsia="Times New Roman"/>
          <w:sz w:val="24"/>
        </w:rPr>
        <w:t>, berlanjut ke Ibnu Sina. Kelanjutan ini menandakan kesinambungan tradisi yang dirintis generasi al-Farabi, bukan kontribusi yang lewat sekali.</w:t>
      </w:r>
      <w:r>
        <w:rPr>
          <w:sz w:val="24"/>
        </w:rPr>
        <w:footnoteReference w:id="30"/>
      </w:r>
    </w:p>
    <w:p>
      <w:pPr>
        <w:spacing w:after="120"/>
        <w:ind w:firstLine="720"/>
      </w:pPr>
      <w:r>
        <w:rPr>
          <w:rFonts w:ascii="Times New Roman" w:hAnsi="Times New Roman" w:eastAsia="Times New Roman"/>
          <w:sz w:val="24"/>
        </w:rPr>
        <w:t xml:space="preserve">Dari sisi karya, tiga kelompok karya menandai kedudukannya. Kelompok pertama adalah komentar atas </w:t>
      </w:r>
      <w:r>
        <w:rPr>
          <w:rFonts w:ascii="Times New Roman" w:hAnsi="Times New Roman" w:eastAsia="Times New Roman"/>
          <w:i/>
          <w:sz w:val="24"/>
        </w:rPr>
        <w:t>Organon</w:t>
      </w:r>
      <w:r>
        <w:rPr>
          <w:rFonts w:ascii="Times New Roman" w:hAnsi="Times New Roman" w:eastAsia="Times New Roman"/>
          <w:sz w:val="24"/>
        </w:rPr>
        <w:t xml:space="preserve"> Aristoteles, termasuk komentar atas </w:t>
      </w:r>
      <w:r>
        <w:rPr>
          <w:rFonts w:ascii="Times New Roman" w:hAnsi="Times New Roman" w:eastAsia="Times New Roman"/>
          <w:i/>
          <w:sz w:val="24"/>
        </w:rPr>
        <w:t>De Interpretatione</w:t>
      </w:r>
      <w:r>
        <w:rPr>
          <w:rFonts w:ascii="Times New Roman" w:hAnsi="Times New Roman" w:eastAsia="Times New Roman"/>
          <w:sz w:val="24"/>
        </w:rPr>
        <w:t xml:space="preserve"> yang edisi kritisnya disunting Zimmermann.</w:t>
      </w:r>
      <w:r>
        <w:rPr>
          <w:sz w:val="24"/>
        </w:rPr>
        <w:footnoteReference w:id="31"/>
      </w:r>
      <w:r>
        <w:rPr>
          <w:rFonts w:ascii="Times New Roman" w:hAnsi="Times New Roman" w:eastAsia="Times New Roman"/>
          <w:sz w:val="24"/>
        </w:rPr>
        <w:t xml:space="preserve"> Kelompok kedua adalah karya sistematis seperti uraian tentang silogisme, demonstrasi, dan </w:t>
      </w:r>
      <w:r>
        <w:rPr>
          <w:rFonts w:ascii="Times New Roman" w:hAnsi="Times New Roman" w:eastAsia="Times New Roman"/>
          <w:i/>
          <w:sz w:val="24"/>
        </w:rPr>
        <w:t>Ihsa al-Ulum</w:t>
      </w:r>
      <w:r>
        <w:rPr>
          <w:rFonts w:ascii="Times New Roman" w:hAnsi="Times New Roman" w:eastAsia="Times New Roman"/>
          <w:sz w:val="24"/>
        </w:rPr>
        <w:t xml:space="preserve"> sebagai klasifikasi ilmu. Kelompok ketiga adalah karya dialektika, yaitu </w:t>
      </w:r>
      <w:r>
        <w:rPr>
          <w:rFonts w:ascii="Times New Roman" w:hAnsi="Times New Roman" w:eastAsia="Times New Roman"/>
          <w:i/>
          <w:sz w:val="24"/>
        </w:rPr>
        <w:t>Kitab al-Jadal</w:t>
      </w:r>
      <w:r>
        <w:rPr>
          <w:rFonts w:ascii="Times New Roman" w:hAnsi="Times New Roman" w:eastAsia="Times New Roman"/>
          <w:sz w:val="24"/>
        </w:rPr>
        <w:t>, yang kini tersedia kajian monografisnya.</w:t>
      </w:r>
      <w:r>
        <w:rPr>
          <w:sz w:val="24"/>
        </w:rPr>
        <w:footnoteReference w:id="32"/>
      </w:r>
      <w:r>
        <w:rPr>
          <w:rFonts w:ascii="Times New Roman" w:hAnsi="Times New Roman" w:eastAsia="Times New Roman"/>
          <w:sz w:val="24"/>
        </w:rPr>
        <w:t xml:space="preserve"> Ketersediaan terjemahan Inggris atas karya-karya filsafatnya sejak 1969 memudahkan pembaca modern mengakses kerangka pemikirannya, walaupun makalah ini tidak mengutip terjemahan tersebut secara langsung.</w:t>
      </w:r>
      <w:r>
        <w:rPr>
          <w:sz w:val="24"/>
        </w:rPr>
        <w:footnoteReference w:id="33"/>
      </w:r>
      <w:r>
        <w:rPr>
          <w:rFonts w:ascii="Times New Roman" w:hAnsi="Times New Roman" w:eastAsia="Times New Roman"/>
          <w:sz w:val="24"/>
        </w:rPr>
        <w:t xml:space="preserve"> Sebagai sintesis penulis, pola transmisi ilmunya dapat dirumuskan dalam empat tahap: penerjemahan korpus Yunani ke Arab sebagai bahan mentah, sistematisasi Farabian atas korpus tersebut menjadi kurikulum yang dapat diajarkan, pelembagaan melalui pengajaran dan penyalinan manuskrip di lingkungan perpustakaan, dan pelanjutan ke Ibnu Sina serta Averroes. Tahap pelembagaan inilah yang menghubungkan sejarah logika dengan sejarah perpustakaan: tanpa katalog, penyalinan, dan klasifikasi, sistematisasi logika sulit diwariskan sebagai tradisi.</w:t>
      </w:r>
    </w:p>
    <w:p>
      <w:pPr>
        <w:pStyle w:val="Heading1"/>
      </w:pPr>
      <w:r>
        <w:t>4  Analisis Kontribusi Keilmuan: Logika al-Farabi</w:t>
      </w:r>
    </w:p>
    <w:p>
      <w:pPr>
        <w:pStyle w:val="Heading2"/>
      </w:pPr>
      <w:r>
        <w:t>4.1  Logika sebagai disiplin penilaian penalaran</w:t>
      </w:r>
    </w:p>
    <w:p>
      <w:pPr>
        <w:spacing w:after="120"/>
        <w:ind w:firstLine="720"/>
      </w:pPr>
      <w:r>
        <w:rPr>
          <w:rFonts w:ascii="Times New Roman" w:hAnsi="Times New Roman" w:eastAsia="Times New Roman"/>
          <w:sz w:val="24"/>
        </w:rPr>
        <w:t xml:space="preserve">Al-Farabi menempatkan logika sebagai disiplin yang menilai penalaran, sejajar dengan kedudukan tata bahasa bagi bahasa. Dalam </w:t>
      </w:r>
      <w:r>
        <w:rPr>
          <w:rFonts w:ascii="Times New Roman" w:hAnsi="Times New Roman" w:eastAsia="Times New Roman"/>
          <w:i/>
          <w:sz w:val="24"/>
        </w:rPr>
        <w:t>Ihsa al-Ulum</w:t>
      </w:r>
      <w:r>
        <w:rPr>
          <w:rFonts w:ascii="Times New Roman" w:hAnsi="Times New Roman" w:eastAsia="Times New Roman"/>
          <w:sz w:val="24"/>
        </w:rPr>
        <w:t xml:space="preserve"> ia menyatakan bahwa subjek logika adalah konsep-konsep sejauh diungkapkan oleh ungkapan, dan ungkapan-ungkapan sejauh mengungkapkan konsep.</w:t>
      </w:r>
      <w:r>
        <w:rPr>
          <w:sz w:val="24"/>
        </w:rPr>
        <w:footnoteReference w:id="34"/>
      </w:r>
      <w:r>
        <w:rPr>
          <w:rFonts w:ascii="Times New Roman" w:hAnsi="Times New Roman" w:eastAsia="Times New Roman"/>
          <w:sz w:val="24"/>
        </w:rPr>
        <w:t xml:space="preserve"> Definisi ini penting bagi argumen makalah: sejak awal logika al-Farabi sudah mempertemukan konsep, ungkapan, dan aturan. Sebagai interpretasi penulis, tiga kutub tersebut dapat dianalogikan dengan representasi, sintaks, dan inferensi dalam sistem komputasi, tetapi analogi ini dibahas tersendiri pada bagian perbandingan.</w:t>
      </w:r>
    </w:p>
    <w:p>
      <w:pPr>
        <w:spacing w:after="120"/>
        <w:ind w:firstLine="720"/>
      </w:pPr>
      <w:r>
        <w:rPr>
          <w:rFonts w:ascii="Times New Roman" w:hAnsi="Times New Roman" w:eastAsia="Times New Roman"/>
          <w:sz w:val="24"/>
        </w:rPr>
        <w:t>Ia juga memberi definisi silogisme yang menekankan tatanan mental: silogisme adalah hal-hal yang tersusun dalam pikiran dalam suatu tatanan.</w:t>
      </w:r>
      <w:r>
        <w:rPr>
          <w:sz w:val="24"/>
        </w:rPr>
        <w:footnoteReference w:id="35"/>
      </w:r>
    </w:p>
    <w:p>
      <w:pPr>
        <w:pStyle w:val="Heading2"/>
      </w:pPr>
      <w:r>
        <w:t>4.2  Silogisme kategoris, hipotetik, dan demonstrasi</w:t>
      </w:r>
    </w:p>
    <w:p>
      <w:pPr>
        <w:spacing w:after="120"/>
        <w:ind w:firstLine="720"/>
      </w:pPr>
      <w:r>
        <w:rPr>
          <w:rFonts w:ascii="Times New Roman" w:hAnsi="Times New Roman" w:eastAsia="Times New Roman"/>
          <w:sz w:val="24"/>
        </w:rPr>
        <w:t>Latarnya adalah doktrin Aristoteles tentang deduksi, yaitu ujaran yang di dalamnya, dengan mengandaikan hal-hal tertentu, dihasilkan sesuatu yang berbeda secara niscaya karena hal-hal tersebut demikian.</w:t>
      </w:r>
      <w:r>
        <w:rPr>
          <w:sz w:val="24"/>
        </w:rPr>
        <w:footnoteReference w:id="36"/>
      </w:r>
      <w:r>
        <w:rPr>
          <w:rFonts w:ascii="Times New Roman" w:hAnsi="Times New Roman" w:eastAsia="Times New Roman"/>
          <w:sz w:val="24"/>
        </w:rPr>
        <w:t xml:space="preserve"> Al-Farabi menerima kerangka ini lalu mengembangkannya. Ia mengakui tiga figur silogisme kategoris dengan empat, empat, dan enam modus yang valid,</w:t>
      </w:r>
      <w:r>
        <w:rPr>
          <w:sz w:val="24"/>
        </w:rPr>
        <w:footnoteReference w:id="37"/>
      </w:r>
      <w:r>
        <w:rPr>
          <w:rFonts w:ascii="Times New Roman" w:hAnsi="Times New Roman" w:eastAsia="Times New Roman"/>
          <w:sz w:val="24"/>
        </w:rPr>
        <w:t xml:space="preserve"> dan memberi contoh silogisme yang valid: tidak ada batu yang merupakan hewan, sebagian benda adalah hewan, maka sebagian benda bukan batu.</w:t>
      </w:r>
      <w:r>
        <w:rPr>
          <w:sz w:val="24"/>
        </w:rPr>
        <w:footnoteReference w:id="38"/>
      </w:r>
    </w:p>
    <w:p>
      <w:pPr>
        <w:spacing w:after="120"/>
        <w:ind w:firstLine="720"/>
      </w:pPr>
      <w:r>
        <w:rPr>
          <w:rFonts w:ascii="Times New Roman" w:hAnsi="Times New Roman" w:eastAsia="Times New Roman"/>
          <w:sz w:val="24"/>
        </w:rPr>
        <w:t>Kontribusinya melampaui pengulangan. Pertama, ia memformalkan argumen majemuk hipotetik.</w:t>
      </w:r>
      <w:r>
        <w:rPr>
          <w:sz w:val="24"/>
        </w:rPr>
        <w:footnoteReference w:id="39"/>
      </w:r>
      <w:r>
        <w:rPr>
          <w:rFonts w:ascii="Times New Roman" w:hAnsi="Times New Roman" w:eastAsia="Times New Roman"/>
          <w:sz w:val="24"/>
        </w:rPr>
        <w:t xml:space="preserve"> Kedua, ia menguraikan demonstrasi sebagai silogisme </w:t>
      </w:r>
      <w:r>
        <w:rPr>
          <w:rFonts w:ascii="Times New Roman" w:hAnsi="Times New Roman" w:eastAsia="Times New Roman"/>
          <w:i/>
          <w:sz w:val="24"/>
        </w:rPr>
        <w:t>Barbara</w:t>
      </w:r>
      <w:r>
        <w:rPr>
          <w:rFonts w:ascii="Times New Roman" w:hAnsi="Times New Roman" w:eastAsia="Times New Roman"/>
          <w:sz w:val="24"/>
        </w:rPr>
        <w:t xml:space="preserve"> yang diberi tambahan-tambahan.</w:t>
      </w:r>
      <w:r>
        <w:rPr>
          <w:sz w:val="24"/>
        </w:rPr>
        <w:footnoteReference w:id="40"/>
      </w:r>
      <w:r>
        <w:rPr>
          <w:rFonts w:ascii="Times New Roman" w:hAnsi="Times New Roman" w:eastAsia="Times New Roman"/>
          <w:sz w:val="24"/>
        </w:rPr>
        <w:t xml:space="preserve"> Ketiga, menurut kajian Hodges dan Druart, ia tercatat paling awal secara eksplisit menyimpulkan muatan eksistensial dari pernyataan bentuk setiap B adalah A. Klaim keaslian ini dikutip sebagai atribusi kajian tersebut, bukan sebagai verifikasi independen penulis.</w:t>
      </w:r>
      <w:r>
        <w:rPr>
          <w:sz w:val="24"/>
        </w:rPr>
        <w:footnoteReference w:id="41"/>
      </w:r>
    </w:p>
    <w:p>
      <w:pPr>
        <w:spacing w:after="120"/>
        <w:ind w:firstLine="720"/>
      </w:pPr>
      <w:r>
        <w:rPr>
          <w:rFonts w:ascii="Times New Roman" w:hAnsi="Times New Roman" w:eastAsia="Times New Roman"/>
          <w:sz w:val="24"/>
        </w:rPr>
        <w:t xml:space="preserve">Dimensi dialektika, yaitu seni perdebatan dan pengujian premis, diwakili oleh </w:t>
      </w:r>
      <w:r>
        <w:rPr>
          <w:rFonts w:ascii="Times New Roman" w:hAnsi="Times New Roman" w:eastAsia="Times New Roman"/>
          <w:i/>
          <w:sz w:val="24"/>
        </w:rPr>
        <w:t>Kitab al-Jadal</w:t>
      </w:r>
      <w:r>
        <w:rPr>
          <w:rFonts w:ascii="Times New Roman" w:hAnsi="Times New Roman" w:eastAsia="Times New Roman"/>
          <w:sz w:val="24"/>
        </w:rPr>
        <w:t xml:space="preserve"> yang kini tersedia kajian monografisnya.</w:t>
      </w:r>
      <w:r>
        <w:rPr>
          <w:sz w:val="24"/>
        </w:rPr>
        <w:footnoteReference w:id="42"/>
      </w:r>
      <w:r>
        <w:rPr>
          <w:rFonts w:ascii="Times New Roman" w:hAnsi="Times New Roman" w:eastAsia="Times New Roman"/>
          <w:sz w:val="24"/>
        </w:rPr>
        <w:t xml:space="preserve"> Naskah ini tidak menyamakan dialektika tersebut dengan penalaran </w:t>
      </w:r>
      <w:r>
        <w:rPr>
          <w:rFonts w:ascii="Times New Roman" w:hAnsi="Times New Roman" w:eastAsia="Times New Roman"/>
          <w:i/>
          <w:sz w:val="24"/>
        </w:rPr>
        <w:t>defeasible</w:t>
      </w:r>
      <w:r>
        <w:rPr>
          <w:rFonts w:ascii="Times New Roman" w:hAnsi="Times New Roman" w:eastAsia="Times New Roman"/>
          <w:sz w:val="24"/>
        </w:rPr>
        <w:t xml:space="preserve"> modern. Kesetaraan seperti itu memerlukan pembahasan tersendiri dan dukungan sumber yang belum diakses dalam penelitian ini.</w:t>
      </w:r>
    </w:p>
    <w:p>
      <w:pPr>
        <w:spacing w:after="120"/>
        <w:ind w:firstLine="720"/>
      </w:pPr>
      <w:r>
        <w:rPr>
          <w:rFonts w:ascii="Times New Roman" w:hAnsi="Times New Roman" w:eastAsia="Times New Roman"/>
          <w:sz w:val="24"/>
        </w:rPr>
        <w:t>Dari sisi konsep, metode, dan teknologi, kontribusi al-Farabi dapat dipetakan sebagai berikut. Secara konsep, ia menegaskan subjek logika sebagai penghubung konsep dan ungkapan, serta menempatkan demonstrasi sebagai puncak pembuktian yang memberi kepastian. Secara metode, ia menawarkan tata cara menilai argumen: mengidentifikasi bentuk silogisme, menguji validitas modus, memisahkan premis yang terbukti dari premis yang hanya diterima dalam debat, dan menaikkan pengujian itu ke tingkat demonstrasi bila premisnya benar dan primer. Secara teknologi dalam arti pra-modern, metode itu diwujudkan melalui teknologi manuskrip: komentar berlapis, glosa, salinan yang dikolasi, dan pengajaran berbasis teks yang memungkinkan koreksi lintas generasi. Secara transmisi, kurikulum sembilan bagian yang berlanjut ke Ibnu Sina menunjukkan bahwa metode tersebut bukan catatan pribadi, melainkan pengetahuan yang dikodifikasi dan dapat diwariskan.</w:t>
      </w:r>
      <w:r>
        <w:rPr>
          <w:sz w:val="24"/>
        </w:rPr>
        <w:footnoteReference w:id="43"/>
      </w:r>
      <w:r>
        <w:rPr>
          <w:rFonts w:ascii="Times New Roman" w:hAnsi="Times New Roman" w:eastAsia="Times New Roman"/>
          <w:sz w:val="24"/>
        </w:rPr>
        <w:t xml:space="preserve"> Sebagai interpretasi penulis, inilah titik yang paling relevan bagi Informatika: tradisi Farabian lebih menyerupai spesifikasi dan dokumentasi pengetahuan agar dapat dipakai ulang, bukan sekadar kumpulan pendapat. Perbedaannya tetap fondasional, karena spesifikasi modern harus dapat dieksekusi mesin dengan jaminan kompleksitas dan kebenaran formal.</w:t>
      </w:r>
    </w:p>
    <w:p>
      <w:pPr>
        <w:pStyle w:val="Heading2"/>
      </w:pPr>
      <w:r>
        <w:t>4.3  Keberatan: apakah kontribusi al-Farabi dilebih-lebihkan?</w:t>
      </w:r>
    </w:p>
    <w:p>
      <w:pPr>
        <w:spacing w:after="120"/>
        <w:ind w:firstLine="720"/>
      </w:pPr>
      <w:r>
        <w:rPr>
          <w:rFonts w:ascii="Times New Roman" w:hAnsi="Times New Roman" w:eastAsia="Times New Roman"/>
          <w:sz w:val="24"/>
        </w:rPr>
        <w:t>Keberatan yang wajar adalah penonjolan al-Farabi berisiko mengecilkan Ibnu Sina dan Ibnu Rusyd. Jawabannya bersifat proporsional. Makalah ini tidak menempatkan al-Farabi sebagai puncak, melainkan sebagai simpul sistematisasi awal yang terdokumentasi. Justru kesinambungan kurikulum sembilan bagiannya ke Ibnu Sina menjadi bukti pengaruhnya yang terlembaga.</w:t>
      </w:r>
      <w:r>
        <w:rPr>
          <w:sz w:val="24"/>
        </w:rPr>
        <w:footnoteReference w:id="44"/>
      </w:r>
      <w:r>
        <w:rPr>
          <w:rFonts w:ascii="Times New Roman" w:hAnsi="Times New Roman" w:eastAsia="Times New Roman"/>
          <w:sz w:val="24"/>
        </w:rPr>
        <w:t xml:space="preserve"> Kajian Chatti yang membentang hingga Averroes meneguhkan bingkai kesinambungan ini, bukan bingkai pemujaan.</w:t>
      </w:r>
      <w:r>
        <w:rPr>
          <w:sz w:val="24"/>
        </w:rPr>
        <w:footnoteReference w:id="45"/>
      </w:r>
    </w:p>
    <w:p>
      <w:pPr>
        <w:pStyle w:val="Heading1"/>
      </w:pPr>
      <w:r>
        <w:t>5  Relevansi terhadap Teknik Informatika</w:t>
      </w:r>
    </w:p>
    <w:p>
      <w:pPr>
        <w:pStyle w:val="Heading2"/>
      </w:pPr>
      <w:r>
        <w:t>5.1  Logika formal sebagai fondasi komputasi</w:t>
      </w:r>
    </w:p>
    <w:p>
      <w:pPr>
        <w:spacing w:after="120"/>
        <w:ind w:firstLine="720"/>
      </w:pPr>
      <w:r>
        <w:rPr>
          <w:rFonts w:ascii="Times New Roman" w:hAnsi="Times New Roman" w:eastAsia="Times New Roman"/>
          <w:sz w:val="24"/>
        </w:rPr>
        <w:t>Fondasi yang dipakai Teknik Informatika berbeda secara kualitatif. Codd membangun model data relasional di atas kalkulus predikat terapan. Ia menyatakan bahwa adopsi model relasional memungkinkan pengembangan bahasa bagian data yang universal yang berlandaskan kalkulus predikat terapan.</w:t>
      </w:r>
      <w:r>
        <w:rPr>
          <w:sz w:val="24"/>
        </w:rPr>
        <w:footnoteReference w:id="46"/>
      </w:r>
      <w:r>
        <w:rPr>
          <w:rFonts w:ascii="Times New Roman" w:hAnsi="Times New Roman" w:eastAsia="Times New Roman"/>
          <w:sz w:val="24"/>
        </w:rPr>
        <w:t xml:space="preserve"> Ia menuntut agar kelas ekspresi kualifikasi memiliki daya deskriptif seperti kelas formula berkuantor yang baik dalam kalkulus predikat terapan.</w:t>
      </w:r>
      <w:r>
        <w:rPr>
          <w:sz w:val="24"/>
        </w:rPr>
        <w:footnoteReference w:id="47"/>
      </w:r>
      <w:r>
        <w:rPr>
          <w:rFonts w:ascii="Times New Roman" w:hAnsi="Times New Roman" w:eastAsia="Times New Roman"/>
          <w:sz w:val="24"/>
        </w:rPr>
        <w:t xml:space="preserve"> Relevan dengan tema perpustakaan, Codd menetapkan bahwa relasi-relasi yang dideklarasikan dimasukkan ke dalam katalog sistem.</w:t>
      </w:r>
      <w:r>
        <w:rPr>
          <w:sz w:val="24"/>
        </w:rPr>
        <w:footnoteReference w:id="48"/>
      </w:r>
      <w:r>
        <w:rPr>
          <w:rFonts w:ascii="Times New Roman" w:hAnsi="Times New Roman" w:eastAsia="Times New Roman"/>
          <w:sz w:val="24"/>
        </w:rPr>
        <w:t xml:space="preserve"> Di sinilah titik temu fungsional yang presisi: katalog, yaitu daftar koleksi agar temu kembali dimungkinkan, muncul kembali sebagai komponen arsitektur basis data. Temu kembali informasi sendiri telah menjadi disiplin buku teks yang mapan,</w:t>
      </w:r>
      <w:r>
        <w:rPr>
          <w:sz w:val="24"/>
        </w:rPr>
        <w:footnoteReference w:id="49"/>
      </w:r>
      <w:r>
        <w:rPr>
          <w:rFonts w:ascii="Times New Roman" w:hAnsi="Times New Roman" w:eastAsia="Times New Roman"/>
          <w:sz w:val="24"/>
        </w:rPr>
        <w:t xml:space="preserve"> dan filsafat informasi, termasuk informasi semantik, diakui sebagai subdisiplin filsafat yang berhubungan erat dengan filsafat logika.</w:t>
      </w:r>
      <w:r>
        <w:rPr>
          <w:sz w:val="24"/>
        </w:rPr>
        <w:footnoteReference w:id="50"/>
      </w:r>
    </w:p>
    <w:p>
      <w:pPr>
        <w:pStyle w:val="Heading2"/>
      </w:pPr>
      <w:r>
        <w:t>5.2  Perbandingan terstruktur</w:t>
      </w:r>
    </w:p>
    <w:p>
      <w:pPr>
        <w:spacing w:after="120"/>
        <w:ind w:firstLine="720"/>
      </w:pPr>
      <w:r>
        <w:rPr>
          <w:rFonts w:ascii="Times New Roman" w:hAnsi="Times New Roman" w:eastAsia="Times New Roman"/>
          <w:sz w:val="24"/>
        </w:rPr>
        <w:t>Tabel 2 merangkum perbandingan. Kolom terakhir menandai status setiap baris. Kode H berarti hubungan sejarah langsung, dan tidak ada baris yang memenuhi syarat bukti untuk kode ini. Kode F berarti kemiripan fungsional, sedangkan kode T berarti perbedaan teknis.</w:t>
      </w:r>
    </w:p>
    <w:p>
      <w:pPr>
        <w:spacing w:before="160" w:after="80"/>
        <w:jc w:val="center"/>
      </w:pPr>
      <w:r>
        <w:rPr>
          <w:rFonts w:ascii="Times New Roman" w:hAnsi="Times New Roman"/>
          <w:b/>
          <w:sz w:val="22"/>
        </w:rPr>
        <w:t xml:space="preserve">Tabel 2. </w:t>
      </w:r>
      <w:r>
        <w:fldChar w:fldCharType="begin"/>
      </w:r>
      <w:r>
        <w:instrText xml:space="preserve">SEQ Tabel \* ARABIC</w:instrText>
      </w:r>
      <w:r>
        <w:fldChar w:fldCharType="separate"/>
      </w:r>
      <w:r>
        <w:rPr>
          <w:rFonts w:ascii="Times New Roman" w:hAnsi="Times New Roman"/>
          <w:sz w:val="22"/>
        </w:rPr>
        <w:t>2</w:t>
      </w:r>
      <w:r>
        <w:fldChar w:fldCharType="end"/>
      </w:r>
      <w:r>
        <w:rPr>
          <w:rFonts w:ascii="Times New Roman" w:hAnsi="Times New Roman"/>
          <w:sz w:val="22"/>
        </w:rPr>
        <w:t xml:space="preserve"> Perbandingan logika al-Farabi dan logika formal dalam Teknik Informatika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
              <w:rPr>
                <w:rFonts w:ascii="Times New Roman" w:hAnsi="Times New Roman"/>
                <w:b/>
                <w:sz w:val="20"/>
              </w:rPr>
              <w:t>Aspek</w:t>
            </w:r>
          </w:p>
        </w:tc>
        <w:tc>
          <w:tcPr>
            <w:tcW w:type="dxa" w:w="2256"/>
          </w:tcPr>
          <w:p>
            <w:r/>
            <w:r>
              <w:rPr>
                <w:rFonts w:ascii="Times New Roman" w:hAnsi="Times New Roman"/>
                <w:b/>
                <w:sz w:val="20"/>
              </w:rPr>
              <w:t>al-Farabi</w:t>
            </w:r>
          </w:p>
        </w:tc>
        <w:tc>
          <w:tcPr>
            <w:tcW w:type="dxa" w:w="2256"/>
          </w:tcPr>
          <w:p>
            <w:r/>
            <w:r>
              <w:rPr>
                <w:rFonts w:ascii="Times New Roman" w:hAnsi="Times New Roman"/>
                <w:b/>
                <w:sz w:val="20"/>
              </w:rPr>
              <w:t>Teknik Informatika</w:t>
            </w:r>
          </w:p>
        </w:tc>
        <w:tc>
          <w:tcPr>
            <w:tcW w:type="dxa" w:w="2256"/>
          </w:tcPr>
          <w:p>
            <w:r/>
            <w:r>
              <w:rPr>
                <w:rFonts w:ascii="Times New Roman" w:hAnsi="Times New Roman"/>
                <w:b/>
                <w:sz w:val="20"/>
              </w:rPr>
              <w:t>Status</w:t>
            </w:r>
          </w:p>
        </w:tc>
      </w:tr>
      <w:tr>
        <w:tc>
          <w:tcPr>
            <w:tcW w:type="dxa" w:w="2256"/>
          </w:tcPr>
          <w:p>
            <w:r/>
            <w:r>
              <w:rPr>
                <w:rFonts w:ascii="Times New Roman" w:hAnsi="Times New Roman" w:eastAsia="Times New Roman"/>
                <w:sz w:val="20"/>
              </w:rPr>
              <w:t>Objek penalaran</w:t>
            </w:r>
          </w:p>
        </w:tc>
        <w:tc>
          <w:tcPr>
            <w:tcW w:type="dxa" w:w="2256"/>
          </w:tcPr>
          <w:p>
            <w:r/>
            <w:r>
              <w:rPr>
                <w:rFonts w:ascii="Times New Roman" w:hAnsi="Times New Roman" w:eastAsia="Times New Roman"/>
                <w:sz w:val="20"/>
              </w:rPr>
              <w:t>Menilai kebenaran argumen dalam bahasa alamiah</w:t>
            </w:r>
          </w:p>
        </w:tc>
        <w:tc>
          <w:tcPr>
            <w:tcW w:type="dxa" w:w="2256"/>
          </w:tcPr>
          <w:p>
            <w:r/>
            <w:r>
              <w:rPr>
                <w:rFonts w:ascii="Times New Roman" w:hAnsi="Times New Roman" w:eastAsia="Times New Roman"/>
                <w:sz w:val="20"/>
              </w:rPr>
              <w:t>Menilai validitas komputasi dan kueri formal</w:t>
            </w:r>
          </w:p>
        </w:tc>
        <w:tc>
          <w:tcPr>
            <w:tcW w:type="dxa" w:w="2256"/>
          </w:tcPr>
          <w:p>
            <w:r/>
            <w:r>
              <w:rPr>
                <w:rFonts w:ascii="Times New Roman" w:hAnsi="Times New Roman" w:eastAsia="Times New Roman"/>
                <w:sz w:val="20"/>
              </w:rPr>
              <w:t>F</w:t>
            </w:r>
          </w:p>
        </w:tc>
      </w:tr>
      <w:tr>
        <w:tc>
          <w:tcPr>
            <w:tcW w:type="dxa" w:w="2256"/>
          </w:tcPr>
          <w:p>
            <w:r/>
            <w:r>
              <w:rPr>
                <w:rFonts w:ascii="Times New Roman" w:hAnsi="Times New Roman" w:eastAsia="Times New Roman"/>
                <w:sz w:val="20"/>
              </w:rPr>
              <w:t>Konsep dan definisi</w:t>
            </w:r>
          </w:p>
        </w:tc>
        <w:tc>
          <w:tcPr>
            <w:tcW w:type="dxa" w:w="2256"/>
          </w:tcPr>
          <w:p>
            <w:r/>
            <w:r>
              <w:rPr>
                <w:rFonts w:ascii="Times New Roman" w:hAnsi="Times New Roman" w:eastAsia="Times New Roman"/>
                <w:sz w:val="20"/>
              </w:rPr>
              <w:t>Konsep diungkapkan ungkapan; klasifikasi ilmu</w:t>
            </w:r>
          </w:p>
        </w:tc>
        <w:tc>
          <w:tcPr>
            <w:tcW w:type="dxa" w:w="2256"/>
          </w:tcPr>
          <w:p>
            <w:r/>
            <w:r>
              <w:rPr>
                <w:rFonts w:ascii="Times New Roman" w:hAnsi="Times New Roman" w:eastAsia="Times New Roman"/>
                <w:sz w:val="20"/>
              </w:rPr>
              <w:t>Ontologi, taksonomi, skema metadata</w:t>
            </w:r>
          </w:p>
        </w:tc>
        <w:tc>
          <w:tcPr>
            <w:tcW w:type="dxa" w:w="2256"/>
          </w:tcPr>
          <w:p>
            <w:r/>
            <w:r>
              <w:rPr>
                <w:rFonts w:ascii="Times New Roman" w:hAnsi="Times New Roman" w:eastAsia="Times New Roman"/>
                <w:sz w:val="20"/>
              </w:rPr>
              <w:t>F</w:t>
            </w:r>
          </w:p>
        </w:tc>
      </w:tr>
      <w:tr>
        <w:tc>
          <w:tcPr>
            <w:tcW w:type="dxa" w:w="2256"/>
          </w:tcPr>
          <w:p>
            <w:r/>
            <w:r>
              <w:rPr>
                <w:rFonts w:ascii="Times New Roman" w:hAnsi="Times New Roman" w:eastAsia="Times New Roman"/>
                <w:sz w:val="20"/>
              </w:rPr>
              <w:t>Bentuk inferensi</w:t>
            </w:r>
          </w:p>
        </w:tc>
        <w:tc>
          <w:tcPr>
            <w:tcW w:type="dxa" w:w="2256"/>
          </w:tcPr>
          <w:p>
            <w:r/>
            <w:r>
              <w:rPr>
                <w:rFonts w:ascii="Times New Roman" w:hAnsi="Times New Roman" w:eastAsia="Times New Roman"/>
                <w:sz w:val="20"/>
              </w:rPr>
              <w:t xml:space="preserve">Silogisme kategoris dan hipotetik; demonstrasi </w:t>
            </w:r>
            <w:r>
              <w:rPr>
                <w:rFonts w:ascii="Times New Roman" w:hAnsi="Times New Roman" w:eastAsia="Times New Roman"/>
                <w:i/>
                <w:sz w:val="20"/>
              </w:rPr>
              <w:t>Barbara</w:t>
            </w:r>
          </w:p>
        </w:tc>
        <w:tc>
          <w:tcPr>
            <w:tcW w:type="dxa" w:w="2256"/>
          </w:tcPr>
          <w:p>
            <w:r/>
            <w:r>
              <w:rPr>
                <w:rFonts w:ascii="Times New Roman" w:hAnsi="Times New Roman" w:eastAsia="Times New Roman"/>
                <w:sz w:val="20"/>
              </w:rPr>
              <w:t>Kalkulus proposisional dan predikat; resolusi</w:t>
            </w:r>
          </w:p>
        </w:tc>
        <w:tc>
          <w:tcPr>
            <w:tcW w:type="dxa" w:w="2256"/>
          </w:tcPr>
          <w:p>
            <w:r/>
            <w:r>
              <w:rPr>
                <w:rFonts w:ascii="Times New Roman" w:hAnsi="Times New Roman" w:eastAsia="Times New Roman"/>
                <w:sz w:val="20"/>
              </w:rPr>
              <w:t>T</w:t>
            </w:r>
          </w:p>
        </w:tc>
      </w:tr>
      <w:tr>
        <w:tc>
          <w:tcPr>
            <w:tcW w:type="dxa" w:w="2256"/>
          </w:tcPr>
          <w:p>
            <w:r/>
            <w:r>
              <w:rPr>
                <w:rFonts w:ascii="Times New Roman" w:hAnsi="Times New Roman" w:eastAsia="Times New Roman"/>
                <w:sz w:val="20"/>
              </w:rPr>
              <w:t>Katalog</w:t>
            </w:r>
          </w:p>
        </w:tc>
        <w:tc>
          <w:tcPr>
            <w:tcW w:type="dxa" w:w="2256"/>
          </w:tcPr>
          <w:p>
            <w:r/>
            <w:r>
              <w:rPr>
                <w:rFonts w:ascii="Times New Roman" w:hAnsi="Times New Roman" w:eastAsia="Times New Roman"/>
                <w:i/>
                <w:sz w:val="20"/>
              </w:rPr>
              <w:t>Fihrist</w:t>
            </w:r>
            <w:r>
              <w:rPr>
                <w:rFonts w:ascii="Times New Roman" w:hAnsi="Times New Roman" w:eastAsia="Times New Roman"/>
                <w:sz w:val="20"/>
              </w:rPr>
              <w:t xml:space="preserve"> sebagai alat bantu manusia menemukan manuskrip</w:t>
            </w:r>
          </w:p>
        </w:tc>
        <w:tc>
          <w:tcPr>
            <w:tcW w:type="dxa" w:w="2256"/>
          </w:tcPr>
          <w:p>
            <w:r/>
            <w:r>
              <w:rPr>
                <w:rFonts w:ascii="Times New Roman" w:hAnsi="Times New Roman" w:eastAsia="Times New Roman"/>
                <w:sz w:val="20"/>
              </w:rPr>
              <w:t>Katalog sistem sebagai metadata yang dibaca mesin untuk optimasi kueri</w:t>
            </w:r>
          </w:p>
        </w:tc>
        <w:tc>
          <w:tcPr>
            <w:tcW w:type="dxa" w:w="2256"/>
          </w:tcPr>
          <w:p>
            <w:r/>
            <w:r>
              <w:rPr>
                <w:rFonts w:ascii="Times New Roman" w:hAnsi="Times New Roman" w:eastAsia="Times New Roman"/>
                <w:sz w:val="20"/>
              </w:rPr>
              <w:t>F+T</w:t>
            </w:r>
          </w:p>
        </w:tc>
      </w:tr>
      <w:tr>
        <w:tc>
          <w:tcPr>
            <w:tcW w:type="dxa" w:w="2256"/>
          </w:tcPr>
          <w:p>
            <w:r/>
            <w:r>
              <w:rPr>
                <w:rFonts w:ascii="Times New Roman" w:hAnsi="Times New Roman" w:eastAsia="Times New Roman"/>
                <w:sz w:val="20"/>
              </w:rPr>
              <w:t>Temu kembali</w:t>
            </w:r>
          </w:p>
        </w:tc>
        <w:tc>
          <w:tcPr>
            <w:tcW w:type="dxa" w:w="2256"/>
          </w:tcPr>
          <w:p>
            <w:r/>
            <w:r>
              <w:rPr>
                <w:rFonts w:ascii="Times New Roman" w:hAnsi="Times New Roman" w:eastAsia="Times New Roman"/>
                <w:sz w:val="20"/>
              </w:rPr>
              <w:t>Klasifikasi dan daftar koleksi</w:t>
            </w:r>
          </w:p>
        </w:tc>
        <w:tc>
          <w:tcPr>
            <w:tcW w:type="dxa" w:w="2256"/>
          </w:tcPr>
          <w:p>
            <w:r/>
            <w:r>
              <w:rPr>
                <w:rFonts w:ascii="Times New Roman" w:hAnsi="Times New Roman" w:eastAsia="Times New Roman"/>
                <w:sz w:val="20"/>
              </w:rPr>
              <w:t>Model Boolean dan probabilistik; indeks terbalik</w:t>
            </w:r>
          </w:p>
        </w:tc>
        <w:tc>
          <w:tcPr>
            <w:tcW w:type="dxa" w:w="2256"/>
          </w:tcPr>
          <w:p>
            <w:r/>
            <w:r>
              <w:rPr>
                <w:rFonts w:ascii="Times New Roman" w:hAnsi="Times New Roman" w:eastAsia="Times New Roman"/>
                <w:sz w:val="20"/>
              </w:rPr>
              <w:t>F+T</w:t>
            </w:r>
          </w:p>
        </w:tc>
      </w:tr>
      <w:tr>
        <w:tc>
          <w:tcPr>
            <w:tcW w:type="dxa" w:w="2256"/>
          </w:tcPr>
          <w:p>
            <w:r/>
            <w:r>
              <w:rPr>
                <w:rFonts w:ascii="Times New Roman" w:hAnsi="Times New Roman" w:eastAsia="Times New Roman"/>
                <w:sz w:val="20"/>
              </w:rPr>
              <w:t>Basis formal</w:t>
            </w:r>
          </w:p>
        </w:tc>
        <w:tc>
          <w:tcPr>
            <w:tcW w:type="dxa" w:w="2256"/>
          </w:tcPr>
          <w:p>
            <w:r/>
            <w:r>
              <w:rPr>
                <w:rFonts w:ascii="Times New Roman" w:hAnsi="Times New Roman" w:eastAsia="Times New Roman"/>
                <w:sz w:val="20"/>
              </w:rPr>
              <w:t>Bahasa dan tatanan mental</w:t>
            </w:r>
          </w:p>
        </w:tc>
        <w:tc>
          <w:tcPr>
            <w:tcW w:type="dxa" w:w="2256"/>
          </w:tcPr>
          <w:p>
            <w:r/>
            <w:r>
              <w:rPr>
                <w:rFonts w:ascii="Times New Roman" w:hAnsi="Times New Roman" w:eastAsia="Times New Roman"/>
                <w:sz w:val="20"/>
              </w:rPr>
              <w:t>Teori himpunan, aljabar relasional, dan indeks</w:t>
            </w:r>
          </w:p>
        </w:tc>
        <w:tc>
          <w:tcPr>
            <w:tcW w:type="dxa" w:w="2256"/>
          </w:tcPr>
          <w:p>
            <w:r/>
            <w:r>
              <w:rPr>
                <w:rFonts w:ascii="Times New Roman" w:hAnsi="Times New Roman" w:eastAsia="Times New Roman"/>
                <w:sz w:val="20"/>
              </w:rPr>
              <w:t>T</w:t>
            </w:r>
          </w:p>
        </w:tc>
      </w:tr>
    </w:tbl>
    <w:p>
      <w:pPr>
        <w:spacing w:before="40"/>
      </w:pPr>
      <w:r>
        <w:rPr>
          <w:rFonts w:ascii="Times New Roman" w:hAnsi="Times New Roman"/>
          <w:sz w:val="20"/>
        </w:rPr>
        <w:t xml:space="preserve">Sumber: </w:t>
      </w:r>
      <w:r>
        <w:rPr>
          <w:rFonts w:ascii="Times New Roman" w:hAnsi="Times New Roman" w:eastAsia="Times New Roman"/>
          <w:sz w:val="20"/>
        </w:rPr>
        <w:t>Status: H = hubungan sejarah langsung (tidak ada yang terbukti); F = kemiripan fungsional; T = perbedaan teknis. Tabel merupakan sintesis penulis dari kajian logika, kajian perpustakaan, dan kajian basis data yang dirujuk makalah ini.</w:t>
      </w:r>
    </w:p>
    <w:p>
      <w:pPr>
        <w:spacing w:after="120"/>
        <w:ind w:firstLine="720"/>
      </w:pPr>
      <w:r>
        <w:rPr>
          <w:rFonts w:ascii="Times New Roman" w:hAnsi="Times New Roman" w:eastAsia="Times New Roman"/>
          <w:sz w:val="24"/>
        </w:rPr>
        <w:t xml:space="preserve">Dua baris perlu diuraikan. Pertama, katalog. </w:t>
      </w:r>
      <w:r>
        <w:rPr>
          <w:rFonts w:ascii="Times New Roman" w:hAnsi="Times New Roman" w:eastAsia="Times New Roman"/>
          <w:i/>
          <w:sz w:val="24"/>
        </w:rPr>
        <w:t>Fihrist</w:t>
      </w:r>
      <w:r>
        <w:rPr>
          <w:rFonts w:ascii="Times New Roman" w:hAnsi="Times New Roman" w:eastAsia="Times New Roman"/>
          <w:sz w:val="24"/>
        </w:rPr>
        <w:t xml:space="preserve"> manuskrip dan katalog sistem Codd sama-sama menyimpan data tentang data agar koleksi dapat ditemukan kembali, sehingga ada kemiripan fungsional. Namun katalog Codd dibaca oleh mesin pengoptimasi kueri dan terikat pada kalkulus formal, sedangkan </w:t>
      </w:r>
      <w:r>
        <w:rPr>
          <w:rFonts w:ascii="Times New Roman" w:hAnsi="Times New Roman" w:eastAsia="Times New Roman"/>
          <w:i/>
          <w:sz w:val="24"/>
        </w:rPr>
        <w:t>fihrist</w:t>
      </w:r>
      <w:r>
        <w:rPr>
          <w:rFonts w:ascii="Times New Roman" w:hAnsi="Times New Roman" w:eastAsia="Times New Roman"/>
          <w:sz w:val="24"/>
        </w:rPr>
        <w:t xml:space="preserve"> dibaca manusia dan terikat konvensi filologis. Itu adalah perbedaan teknis yang tidak boleh dikaburkan. Kedua, demonstrasi </w:t>
      </w:r>
      <w:r>
        <w:rPr>
          <w:rFonts w:ascii="Times New Roman" w:hAnsi="Times New Roman" w:eastAsia="Times New Roman"/>
          <w:i/>
          <w:sz w:val="24"/>
        </w:rPr>
        <w:t>Barbara</w:t>
      </w:r>
      <w:r>
        <w:rPr>
          <w:rFonts w:ascii="Times New Roman" w:hAnsi="Times New Roman" w:eastAsia="Times New Roman"/>
          <w:sz w:val="24"/>
        </w:rPr>
        <w:t xml:space="preserve"> dan pembuktian teorema. Keduanya mengejar kepastian dari premis, tetapi demonstrasi al-Farabi bergerak dalam bahasa alamiah yang didisiplinkan, sedangkan pembuktian komputasi bergerak dalam bahasa formal yang dapat dieksekusi mesin.</w:t>
      </w:r>
    </w:p>
    <w:p>
      <w:pPr>
        <w:pStyle w:val="Heading2"/>
      </w:pPr>
      <w:r>
        <w:t>5.3  Batas perbandingan</w:t>
      </w:r>
    </w:p>
    <w:p>
      <w:pPr>
        <w:spacing w:after="120"/>
        <w:ind w:firstLine="720"/>
      </w:pPr>
      <w:r>
        <w:rPr>
          <w:rFonts w:ascii="Times New Roman" w:hAnsi="Times New Roman" w:eastAsia="Times New Roman"/>
          <w:sz w:val="24"/>
        </w:rPr>
        <w:t>Perbandingan di atas memiliki tiga batas. Pertama, tidak ada hubungan sejarah langsung. Tidak ada bukti bahwa al-Farabi memengaruhi Codd atau perancang basis data. Kesamaan kosakata katalog adalah konvergensi fungsional, dan mengklaim sebaliknya adalah anakronisme. Kedua, klasifikasi ilmu pra-modern bersifat normatif dan filosofis karena menetapkan tatanan ilmu yang seharusnya, sedangkan skema basis data bersifat operasional karena harus mengeksekusi kueri dalam batas waktu. Ketiga, basis data tidak dapat direduksi menjadi logika semata. Model data, struktur indeks, bahasa kueri, dan rancangan sistem adalah lapisan teknik yang tidak identik dengan silogisme. Arsitektur Codd sendiri memisahkan bahasa bagian data dari kalkulusnya.</w:t>
      </w:r>
      <w:r>
        <w:rPr>
          <w:sz w:val="24"/>
        </w:rPr>
        <w:footnoteReference w:id="51"/>
      </w:r>
    </w:p>
    <w:p>
      <w:pPr>
        <w:pStyle w:val="Heading2"/>
      </w:pPr>
      <w:r>
        <w:t>5.4  Perluasan: algoritma, kecerdasan artifisial, dan keamanan siber</w:t>
      </w:r>
    </w:p>
    <w:p>
      <w:pPr>
        <w:spacing w:after="120"/>
        <w:ind w:firstLine="720"/>
      </w:pPr>
      <w:r>
        <w:rPr>
          <w:rFonts w:ascii="Times New Roman" w:hAnsi="Times New Roman" w:eastAsia="Times New Roman"/>
          <w:sz w:val="24"/>
        </w:rPr>
        <w:t>Bagian ini memperluas perbandingan ke tiga bidang yang dituntut cakupan tugas, dengan status yang tegas sebagai analogi konseptual dan interpretasi penulis, bukan klaim sejarah. Dasarnya tetap sama: kalkulus predikat terapan pada Codd,</w:t>
      </w:r>
      <w:r>
        <w:rPr>
          <w:sz w:val="24"/>
        </w:rPr>
        <w:footnoteReference w:id="52"/>
      </w:r>
      <w:r>
        <w:rPr>
          <w:rFonts w:ascii="Times New Roman" w:hAnsi="Times New Roman" w:eastAsia="Times New Roman"/>
          <w:sz w:val="24"/>
        </w:rPr>
        <w:t xml:space="preserve"> kedudukan temu kembali informasi sebagai disiplin,</w:t>
      </w:r>
      <w:r>
        <w:rPr>
          <w:sz w:val="24"/>
        </w:rPr>
        <w:footnoteReference w:id="53"/>
      </w:r>
      <w:r>
        <w:rPr>
          <w:rFonts w:ascii="Times New Roman" w:hAnsi="Times New Roman" w:eastAsia="Times New Roman"/>
          <w:sz w:val="24"/>
        </w:rPr>
        <w:t xml:space="preserve"> dan kedudukan filsafat informasi yang berhubungan erat dengan filsafat logika.</w:t>
      </w:r>
      <w:r>
        <w:rPr>
          <w:sz w:val="24"/>
        </w:rPr>
        <w:footnoteReference w:id="54"/>
      </w:r>
    </w:p>
    <w:p>
      <w:pPr>
        <w:spacing w:after="120"/>
        <w:ind w:firstLine="720"/>
      </w:pPr>
      <w:r>
        <w:rPr>
          <w:rFonts w:ascii="Times New Roman" w:hAnsi="Times New Roman" w:eastAsia="Times New Roman"/>
          <w:sz w:val="24"/>
        </w:rPr>
        <w:t xml:space="preserve">Pertama, algoritma dan representasi pengetahuan. Sebagai interpretasi penulis, silogisme kategoris dan hipotetik al-Farabi dapat dibaca sebagai aturan inferensi </w:t>
      </w:r>
      <w:r>
        <w:rPr>
          <w:rFonts w:ascii="Times New Roman" w:hAnsi="Times New Roman" w:eastAsia="Times New Roman"/>
          <w:i/>
          <w:sz w:val="24"/>
        </w:rPr>
        <w:t>jika-maka</w:t>
      </w:r>
      <w:r>
        <w:rPr>
          <w:rFonts w:ascii="Times New Roman" w:hAnsi="Times New Roman" w:eastAsia="Times New Roman"/>
          <w:sz w:val="24"/>
        </w:rPr>
        <w:t xml:space="preserve"> dalam arti yang sangat umum: dari premis yang diterima, kesimpulan ditarik secara tertib. Bentuk modernnya dalam Informatika adalah aturan produksi, ontologi, taksonomi, dan skema metadata yang dibaca mesin. Klausa </w:t>
      </w:r>
      <w:r>
        <w:rPr>
          <w:rFonts w:ascii="Times New Roman" w:hAnsi="Times New Roman" w:eastAsia="Times New Roman"/>
          <w:i/>
          <w:sz w:val="24"/>
        </w:rPr>
        <w:t>WHERE</w:t>
      </w:r>
      <w:r>
        <w:rPr>
          <w:rFonts w:ascii="Times New Roman" w:hAnsi="Times New Roman" w:eastAsia="Times New Roman"/>
          <w:sz w:val="24"/>
        </w:rPr>
        <w:t xml:space="preserve"> dalam kueri relasional, misalnya, secara fungsional melakukan penyaringan dengan predikat seperti halnya premis minor membatasi subjek dalam silogisme. Perbedaannya bersifat fondasional: aturan modern dieksekusi oleh mesin dengan semantik formal dan kompleksitas yang terukur, sedangkan silogisme Farabian dinilai kebenarannya dalam bahasa alamiah yang didisiplinkan. Analogi berhenti tepat di sini.</w:t>
      </w:r>
    </w:p>
    <w:p>
      <w:pPr>
        <w:spacing w:after="120"/>
        <w:ind w:firstLine="720"/>
      </w:pPr>
      <w:r>
        <w:rPr>
          <w:rFonts w:ascii="Times New Roman" w:hAnsi="Times New Roman" w:eastAsia="Times New Roman"/>
          <w:sz w:val="24"/>
        </w:rPr>
        <w:t xml:space="preserve">Kedua, kecerdasan artifisial. AI simbolik historis memakai representasi logis dan mesin inferensi yang secara konseptual dekat dengan cita-cita demonstrasi, yaitu kepastian dari premis yang benar. AI statistik dan model bahasa modern justru bergerak berlawanan: menghasilkan jawaban yang masuk akal secara probabilistik tanpa rantai demonstrasi yang dapat diaudit. Di sinilah warisan dialektika al-Farabi menjadi relevan sebagai pelajaran metodis, bukan sebagai teknik. </w:t>
      </w:r>
      <w:r>
        <w:rPr>
          <w:rFonts w:ascii="Times New Roman" w:hAnsi="Times New Roman" w:eastAsia="Times New Roman"/>
          <w:i/>
          <w:sz w:val="24"/>
        </w:rPr>
        <w:t>Kitab al-Jadal</w:t>
      </w:r>
      <w:r>
        <w:rPr>
          <w:rFonts w:ascii="Times New Roman" w:hAnsi="Times New Roman" w:eastAsia="Times New Roman"/>
          <w:sz w:val="24"/>
        </w:rPr>
        <w:t xml:space="preserve"> menekankan pengujian premis melalui tanya-jawab,</w:t>
      </w:r>
      <w:r>
        <w:rPr>
          <w:sz w:val="24"/>
        </w:rPr>
        <w:footnoteReference w:id="55"/>
      </w:r>
      <w:r>
        <w:rPr>
          <w:rFonts w:ascii="Times New Roman" w:hAnsi="Times New Roman" w:eastAsia="Times New Roman"/>
          <w:sz w:val="24"/>
        </w:rPr>
        <w:t xml:space="preserve"> dan sebagai analogi penulis, praktik modern yang sepadan adalah evaluasi, pengujian, dan audit model: memisahkan klaim yang terbukti, klaim yang probable, dan klaim yang hanya retoris. Filsafat informasi yang membahas informasi semantik membantu merumuskan pembedaan tersebut secara konseptual.</w:t>
      </w:r>
      <w:r>
        <w:rPr>
          <w:sz w:val="24"/>
        </w:rPr>
        <w:footnoteReference w:id="56"/>
      </w:r>
      <w:r>
        <w:rPr>
          <w:rFonts w:ascii="Times New Roman" w:hAnsi="Times New Roman" w:eastAsia="Times New Roman"/>
          <w:sz w:val="24"/>
        </w:rPr>
        <w:t xml:space="preserve"> Batasnya harus dinyatakan: menyamakan dialektika klasik dengan penalaran </w:t>
      </w:r>
      <w:r>
        <w:rPr>
          <w:rFonts w:ascii="Times New Roman" w:hAnsi="Times New Roman" w:eastAsia="Times New Roman"/>
          <w:i/>
          <w:sz w:val="24"/>
        </w:rPr>
        <w:t>defeasible</w:t>
      </w:r>
      <w:r>
        <w:rPr>
          <w:rFonts w:ascii="Times New Roman" w:hAnsi="Times New Roman" w:eastAsia="Times New Roman"/>
          <w:sz w:val="24"/>
        </w:rPr>
        <w:t xml:space="preserve"> atau dengan </w:t>
      </w:r>
      <w:r>
        <w:rPr>
          <w:rFonts w:ascii="Times New Roman" w:hAnsi="Times New Roman" w:eastAsia="Times New Roman"/>
          <w:i/>
          <w:sz w:val="24"/>
        </w:rPr>
        <w:t>prompting</w:t>
      </w:r>
      <w:r>
        <w:rPr>
          <w:rFonts w:ascii="Times New Roman" w:hAnsi="Times New Roman" w:eastAsia="Times New Roman"/>
          <w:sz w:val="24"/>
        </w:rPr>
        <w:t xml:space="preserve"> modern memerlukan kajian tersendiri dan tidak dilakukan makalah ini.</w:t>
      </w:r>
    </w:p>
    <w:p>
      <w:pPr>
        <w:spacing w:after="120"/>
        <w:ind w:firstLine="720"/>
      </w:pPr>
      <w:r>
        <w:rPr>
          <w:rFonts w:ascii="Times New Roman" w:hAnsi="Times New Roman" w:eastAsia="Times New Roman"/>
          <w:sz w:val="24"/>
        </w:rPr>
        <w:t>Ketiga, keamanan siber dan tata kelola data. Relevansi yang paling presisi justru datang dari konsep katalog Codd: relasi yang dideklarasikan dimasukkan ke dalam katalog sistem.</w:t>
      </w:r>
      <w:r>
        <w:rPr>
          <w:sz w:val="24"/>
        </w:rPr>
        <w:footnoteReference w:id="57"/>
      </w:r>
      <w:r>
        <w:rPr>
          <w:rFonts w:ascii="Times New Roman" w:hAnsi="Times New Roman" w:eastAsia="Times New Roman"/>
          <w:sz w:val="24"/>
        </w:rPr>
        <w:t xml:space="preserve"> Katalog itu bukan sekadar daftar, melainkan metadata otoritatif yang dipakai pengoptimasi kueri dan penegak izin. Sebagai analogi penulis, </w:t>
      </w:r>
      <w:r>
        <w:rPr>
          <w:rFonts w:ascii="Times New Roman" w:hAnsi="Times New Roman" w:eastAsia="Times New Roman"/>
          <w:i/>
          <w:sz w:val="24"/>
        </w:rPr>
        <w:t>fihrist</w:t>
      </w:r>
      <w:r>
        <w:rPr>
          <w:rFonts w:ascii="Times New Roman" w:hAnsi="Times New Roman" w:eastAsia="Times New Roman"/>
          <w:sz w:val="24"/>
        </w:rPr>
        <w:t xml:space="preserve"> manuskrip menjalankan fungsi sejenis pada tingkat sosial-filologis: menetapkan apa yang ada, siapa yang menyalin, dan dari jalur mana teks itu datang. Dalam bahasa modern, itu adalah masalah provenance, integritas, dan kontrol akses. Perpustakaan klasik menjaga otentisitas melalui rantai periwayatan dan kolofon; sistem modern menjaganya melalui skema izin, log audit, tanda tangan digital, dan batasan kueri. Persamaannya fungsional, yaitu sama-sama menjawab pertanyaan kepercayaan terhadap koleksi. Perbedaannya teknis dan ancaman: katalog klasik menghadapi pemalsuan naskah dan salah atribusi, sedangkan katalog sistem menghadapi injeksi, eskalasi hak, dan kebocoran melalui kueri. Tanpa tata kelola katalog yang aman, temu kembali yang canggih justru mempercepat penyebaran informasi yang salah atau bocor.</w:t>
      </w:r>
    </w:p>
    <w:p>
      <w:pPr>
        <w:pStyle w:val="Heading1"/>
      </w:pPr>
      <w:r>
        <w:t>6  Refleksi Kritis: Nilai, Etika, Keterbatasan, dan Pelajaran bagi Mahasiswa</w:t>
      </w:r>
    </w:p>
    <w:p>
      <w:pPr>
        <w:spacing w:after="120"/>
        <w:ind w:firstLine="720"/>
      </w:pPr>
      <w:r>
        <w:rPr>
          <w:rFonts w:ascii="Times New Roman" w:hAnsi="Times New Roman" w:eastAsia="Times New Roman"/>
          <w:sz w:val="24"/>
        </w:rPr>
        <w:t>Perbandingan di atas tidak lengkap tanpa refleksi kritis. Bagian ini menjawab pertanyaan kelima dan dinyatakan eksplisit sebagai refleksi dan kesimpulan penulis, bukan sebagai fakta sejarah yang dikutip dari sumber primer.</w:t>
      </w:r>
    </w:p>
    <w:p>
      <w:pPr>
        <w:spacing w:after="120"/>
        <w:ind w:firstLine="720"/>
      </w:pPr>
      <w:r>
        <w:rPr>
          <w:rFonts w:ascii="Times New Roman" w:hAnsi="Times New Roman" w:eastAsia="Times New Roman"/>
          <w:sz w:val="24"/>
        </w:rPr>
        <w:t xml:space="preserve">Pertama, nilai. Tradisi keilmuan Islam menempatkan pengorganisasian pengetahuan sebagai amanah: mengumpulkan, menyalin dengan teliti, memberi atribusi, dan memudahkan pencari ilmu. Nilai itu tetap berlaku ketika medianya berubah dari rak manuskrip menjadi indeks terbalik dan katalog sistem. Sebagai rumusan penulis, mahasiswa Informatika mewarisi fungsi pustakawan klasik dalam bentuk baru: perancang skema, penulis kueri, kurator dataset, dan penjaga metadata. Standar kejujuran yang dahulu berlaku pada kolofon dan </w:t>
      </w:r>
      <w:r>
        <w:rPr>
          <w:rFonts w:ascii="Times New Roman" w:hAnsi="Times New Roman" w:eastAsia="Times New Roman"/>
          <w:i/>
          <w:sz w:val="24"/>
        </w:rPr>
        <w:t>isnad</w:t>
      </w:r>
      <w:r>
        <w:rPr>
          <w:rFonts w:ascii="Times New Roman" w:hAnsi="Times New Roman" w:eastAsia="Times New Roman"/>
          <w:sz w:val="24"/>
        </w:rPr>
        <w:t xml:space="preserve"> kini berlaku pada dokumentasi data, sitasi sumber dataset, dan pencatatan provenance model.</w:t>
      </w:r>
    </w:p>
    <w:p>
      <w:pPr>
        <w:spacing w:after="120"/>
        <w:ind w:firstLine="720"/>
      </w:pPr>
      <w:r>
        <w:rPr>
          <w:rFonts w:ascii="Times New Roman" w:hAnsi="Times New Roman" w:eastAsia="Times New Roman"/>
          <w:sz w:val="24"/>
        </w:rPr>
        <w:t>Kedua, etika masyarakat digital. Tiga risiko menonjol. Satu, kepastian palsu: demonstrasi menuntut premis benar dan aturan sah, sedangkan sistem probabilistik modern dapat menyajikan jawaban yang lancar tetapi tidak terbukti. Pelajaran Farabian di sini adalah disiplin membedakan demonstrasi, dialektika, retorika, dan sofistika; tidak semua yang meyakinkan adalah terbukti.</w:t>
      </w:r>
      <w:r>
        <w:rPr>
          <w:sz w:val="24"/>
        </w:rPr>
        <w:footnoteReference w:id="58"/>
      </w:r>
      <w:r>
        <w:rPr>
          <w:sz w:val="24"/>
        </w:rPr>
        <w:footnoteReference w:id="59"/>
      </w:r>
      <w:r>
        <w:rPr>
          <w:rFonts w:ascii="Times New Roman" w:hAnsi="Times New Roman" w:eastAsia="Times New Roman"/>
          <w:sz w:val="24"/>
        </w:rPr>
        <w:t xml:space="preserve"> Dua, bias klasifikasi: setiap taksonomi dan skema metadata menyembunyikan keputusan nilai tentang apa yang dianggap penting dan dapat dicari. Klasifikasi yang buruk mengubur pengetahuan sama efektifnya dengan sensor. Tiga, keamanan dan privasi: katalog yang rapi tanpa kontrol akses justru memudahkan penyalahgunaan. Prinsip yang sepadan dengan etika katalog klasik adalah minimalisasi data, pembatasan izin berbasis peran, pencatatan audit, dan verifikasi integritas, yang secara konseptual melanjutkan fungsi katalog Codd sebagai metadata otoritatif.</w:t>
      </w:r>
      <w:r>
        <w:rPr>
          <w:sz w:val="24"/>
        </w:rPr>
        <w:footnoteReference w:id="60"/>
      </w:r>
      <w:r>
        <w:rPr>
          <w:rFonts w:ascii="Times New Roman" w:hAnsi="Times New Roman" w:eastAsia="Times New Roman"/>
          <w:sz w:val="24"/>
        </w:rPr>
        <w:t xml:space="preserve"> Dimensi etis informasi sebagai barang sosial juga diakui dalam filsafat informasi modern.</w:t>
      </w:r>
      <w:r>
        <w:rPr>
          <w:sz w:val="24"/>
        </w:rPr>
        <w:footnoteReference w:id="61"/>
      </w:r>
    </w:p>
    <w:p>
      <w:pPr>
        <w:spacing w:after="120"/>
        <w:ind w:firstLine="720"/>
      </w:pPr>
      <w:r>
        <w:rPr>
          <w:rFonts w:ascii="Times New Roman" w:hAnsi="Times New Roman" w:eastAsia="Times New Roman"/>
          <w:sz w:val="24"/>
        </w:rPr>
        <w:t xml:space="preserve">Ketiga, keterbatasan. Makalah ini terbatas pada perbandingan konseptual. Sembilan dari enam belas sumber hanya dipakai sebagai konteks umum berbasis metadata tanpa kutipan halaman, karena teks penuhnya belum diakses secara legal. Angka rinci perpustakaan klasik tidak dibahas karena memerlukan </w:t>
      </w:r>
      <w:r>
        <w:rPr>
          <w:rFonts w:ascii="Times New Roman" w:hAnsi="Times New Roman" w:eastAsia="Times New Roman"/>
          <w:i/>
          <w:sz w:val="24"/>
        </w:rPr>
        <w:t>Fihrist</w:t>
      </w:r>
      <w:r>
        <w:rPr>
          <w:rFonts w:ascii="Times New Roman" w:hAnsi="Times New Roman" w:eastAsia="Times New Roman"/>
          <w:sz w:val="24"/>
        </w:rPr>
        <w:t xml:space="preserve"> Ibn al-Nadim dan teks penuh Gutas serta Pedersen. Penyamaan dialektika dengan logika non-monotonik modern, penyamaan silogisme modal Arab dengan logika modal modern, dan klaim pengaruh historis langsung semuanya sengaja tidak dilakukan karena bukti dan ruangnya belum ada. Keterbatasan ini bukan kelemahan yang disembunyikan, melainkan batas validitas yang menjaga klaim tetap jujur.</w:t>
      </w:r>
    </w:p>
    <w:p>
      <w:pPr>
        <w:spacing w:after="120"/>
        <w:ind w:firstLine="720"/>
      </w:pPr>
      <w:r>
        <w:rPr>
          <w:rFonts w:ascii="Times New Roman" w:hAnsi="Times New Roman" w:eastAsia="Times New Roman"/>
          <w:sz w:val="24"/>
        </w:rPr>
        <w:t>Keempat, pelajaran bagi mahasiswa. Empat pelajaran praktis dapat ditarik. Satu, bedakan fakta, interpretasi, analogi, dan kesimpulan sendiri dalam setiap laporan, seperti yang dilakukan makalah ini. Dua, perlakukan katalog dan metadata sebagai warga kelas satu dalam perancangan sistem, bukan tempelan administratif. Tiga, uji premis sebelum mengoptimasi inferensi: dataset yang kotor, label yang bias, dan izin yang longgar tidak dapat diselamatkan oleh algoritma yang canggih. Empat, tolak anakronisme: mengklaim al-Farabi sebagai pendahulu basis data merendahkan sejarah sekaligus menyesatkan teknik; yang benar adalah belajar ketelitian bernalar darinya untuk membangun sistem yang dapat diaudit, aman, dan bermanfaat.</w:t>
      </w:r>
    </w:p>
    <w:p>
      <w:pPr>
        <w:pStyle w:val="Heading1"/>
      </w:pPr>
      <w:r>
        <w:t>7  Kesimpulan</w:t>
      </w:r>
    </w:p>
    <w:p>
      <w:pPr>
        <w:spacing w:after="120"/>
        <w:ind w:firstLine="720"/>
      </w:pPr>
      <w:r>
        <w:rPr>
          <w:rFonts w:ascii="Times New Roman" w:hAnsi="Times New Roman" w:eastAsia="Times New Roman"/>
          <w:sz w:val="24"/>
        </w:rPr>
        <w:t xml:space="preserve">Menjawab lima rumusan masalah, makalah ini menyimpulkan lima hal. Pertama, peradaban Islam melembagakan pengorganisasian pengetahuan melalui institusi seperti Bayt al-Hikmah dengan praktik pengatalogan yang sistematis, dalam konteks gerakan penerjemahan dan budaya buku Arab. Kedua, kontribusi spesifik al-Farabi terletak pada definisi subjek logika, sistematisasi tiga figur silogisme, formalisasi argumen hipotetik majemuk, teori demonstrasi, dan perhatian pada dialektika. Ketiga, persamaannya dengan logika dalam Teknik Informatika bersifat fungsional, yaitu kesamaan masalah temu kembali dan penilaian penalaran, sedangkan perbedaannya bersifat fondasional, yaitu silogisme dalam bahasa alamiah berbanding kalkulus formal yang dieksekusi mesin. Keempat, perluasan ke algoritma, kecerdasan artifisial, dan keamanan siber sah hanya sebagai analogi konseptual: aturan produksi dan ontologi melanjutkan fungsi representasi, audit model melanjutkan fungsi dialektika sebagai penguji premis, dan katalog sistem yang aman melanjutkan fungsi </w:t>
      </w:r>
      <w:r>
        <w:rPr>
          <w:rFonts w:ascii="Times New Roman" w:hAnsi="Times New Roman" w:eastAsia="Times New Roman"/>
          <w:i/>
          <w:sz w:val="24"/>
        </w:rPr>
        <w:t>fihrist</w:t>
      </w:r>
      <w:r>
        <w:rPr>
          <w:rFonts w:ascii="Times New Roman" w:hAnsi="Times New Roman" w:eastAsia="Times New Roman"/>
          <w:sz w:val="24"/>
        </w:rPr>
        <w:t xml:space="preserve"> sebagai penjamin provenance dan akses. Kelima, perbandingan ini menuntut etika amanah bagi mahasiswa: membangun sistem temu kembali yang jujur, terdokumentasi, adil dalam klasifikasi, dan aman dalam tata kelola, dengan kesadaran penuh akan keterbatasan sumber dan bukti.</w:t>
      </w:r>
    </w:p>
    <w:p>
      <w:pPr>
        <w:spacing w:after="120"/>
        <w:ind w:firstLine="720"/>
      </w:pPr>
      <w:r>
        <w:rPr>
          <w:rFonts w:ascii="Times New Roman" w:hAnsi="Times New Roman" w:eastAsia="Times New Roman"/>
          <w:sz w:val="24"/>
        </w:rPr>
        <w:t xml:space="preserve">Keterbatasan yang masih terbuka adalah perlunya teks penuh kajian sejarah dan kajian logika Arab untuk menguatkan klaim yang saat ini baru didukung sebagai konteks umum, serta perlunya kajian atas </w:t>
      </w:r>
      <w:r>
        <w:rPr>
          <w:rFonts w:ascii="Times New Roman" w:hAnsi="Times New Roman" w:eastAsia="Times New Roman"/>
          <w:i/>
          <w:sz w:val="24"/>
        </w:rPr>
        <w:t>Fihrist</w:t>
      </w:r>
      <w:r>
        <w:rPr>
          <w:rFonts w:ascii="Times New Roman" w:hAnsi="Times New Roman" w:eastAsia="Times New Roman"/>
          <w:sz w:val="24"/>
        </w:rPr>
        <w:t xml:space="preserve"> Ibn al-Nadim untuk rincian praktik pengatalogan klasik dan kajian khusus untuk dialektika, logika modal, dan keamanan basis data.</w:t>
      </w:r>
    </w:p>
    <w:p>
      <w:r>
        <w:br w:type="page"/>
      </w:r>
    </w:p>
    <w:p>
      <w:pPr>
        <w:pStyle w:val="Heading1"/>
      </w:pPr>
      <w:r>
        <w:t>Daftar Pustaka</w:t>
      </w:r>
    </w:p>
    <w:p>
      <w:pPr>
        <w:spacing w:after="120"/>
        <w:ind w:hanging="425" w:left="425"/>
      </w:pPr>
      <w:r>
        <w:rPr>
          <w:rFonts w:ascii="Times New Roman" w:hAnsi="Times New Roman" w:eastAsia="Times New Roman"/>
          <w:sz w:val="24"/>
        </w:rPr>
        <w:t xml:space="preserve">Algeriani, Adel Abdul-Aziz, and Mawloud Mohadi. “The House of Wisdom (Bayt al-Hikmah) and Its Civilizational Impact on Islamic Libraries: A Historical Perspective.” </w:t>
      </w:r>
      <w:r>
        <w:rPr>
          <w:rFonts w:ascii="Times New Roman" w:hAnsi="Times New Roman" w:eastAsia="Times New Roman"/>
          <w:i/>
          <w:sz w:val="24"/>
        </w:rPr>
        <w:t>Mediterranean Journal of Social Sciences</w:t>
      </w:r>
      <w:r>
        <w:rPr>
          <w:rFonts w:ascii="Times New Roman" w:hAnsi="Times New Roman" w:eastAsia="Times New Roman"/>
          <w:sz w:val="24"/>
        </w:rPr>
        <w:t xml:space="preserve"> 8, no. 5 (2017): 179–187. https://doi.org/10.1515/mjss-2017-0036.</w:t>
      </w:r>
    </w:p>
    <w:p>
      <w:pPr>
        <w:spacing w:after="120"/>
        <w:ind w:hanging="425" w:left="425"/>
      </w:pPr>
      <w:r>
        <w:rPr>
          <w:rFonts w:ascii="Times New Roman" w:hAnsi="Times New Roman" w:eastAsia="Times New Roman"/>
          <w:sz w:val="24"/>
        </w:rPr>
        <w:t xml:space="preserve">Black, Deborah L. </w:t>
      </w:r>
      <w:r>
        <w:rPr>
          <w:rFonts w:ascii="Times New Roman" w:hAnsi="Times New Roman" w:eastAsia="Times New Roman"/>
          <w:i/>
          <w:sz w:val="24"/>
        </w:rPr>
        <w:t>Logic and Aristotle’s Rhetoric and Poetics in Medieval Arabic Philosophy</w:t>
      </w:r>
      <w:r>
        <w:rPr>
          <w:rFonts w:ascii="Times New Roman" w:hAnsi="Times New Roman" w:eastAsia="Times New Roman"/>
          <w:sz w:val="24"/>
        </w:rPr>
        <w:t>. Leiden: Brill, 1990. https://doi.org/10.1163/9789004452398.</w:t>
      </w:r>
    </w:p>
    <w:p>
      <w:pPr>
        <w:spacing w:after="120"/>
        <w:ind w:hanging="425" w:left="425"/>
      </w:pPr>
      <w:r>
        <w:rPr>
          <w:rFonts w:ascii="Times New Roman" w:hAnsi="Times New Roman" w:eastAsia="Times New Roman"/>
          <w:sz w:val="24"/>
        </w:rPr>
        <w:t xml:space="preserve">Chatti, Saloua. </w:t>
      </w:r>
      <w:r>
        <w:rPr>
          <w:rFonts w:ascii="Times New Roman" w:hAnsi="Times New Roman" w:eastAsia="Times New Roman"/>
          <w:i/>
          <w:sz w:val="24"/>
        </w:rPr>
        <w:t>Arabic Logic from al-Farabi to Averroes: A Study of the Early Arabic Categorical, Modal, and Hypothetical Syllogistics</w:t>
      </w:r>
      <w:r>
        <w:rPr>
          <w:rFonts w:ascii="Times New Roman" w:hAnsi="Times New Roman" w:eastAsia="Times New Roman"/>
          <w:sz w:val="24"/>
        </w:rPr>
        <w:t>. Cham: Springer, 2019. https://doi.org/10.1007/978-3-030-27466-5.</w:t>
      </w:r>
    </w:p>
    <w:p>
      <w:pPr>
        <w:spacing w:after="120"/>
        <w:ind w:hanging="425" w:left="425"/>
      </w:pPr>
      <w:r>
        <w:rPr>
          <w:rFonts w:ascii="Times New Roman" w:hAnsi="Times New Roman" w:eastAsia="Times New Roman"/>
          <w:sz w:val="24"/>
        </w:rPr>
        <w:t xml:space="preserve">Codd, E. F. “A Relational Model of Data for Large Shared Data Banks.” </w:t>
      </w:r>
      <w:r>
        <w:rPr>
          <w:rFonts w:ascii="Times New Roman" w:hAnsi="Times New Roman" w:eastAsia="Times New Roman"/>
          <w:i/>
          <w:sz w:val="24"/>
        </w:rPr>
        <w:t>Communications of the ACM</w:t>
      </w:r>
      <w:r>
        <w:rPr>
          <w:rFonts w:ascii="Times New Roman" w:hAnsi="Times New Roman" w:eastAsia="Times New Roman"/>
          <w:sz w:val="24"/>
        </w:rPr>
        <w:t xml:space="preserve"> 13, no. 6 (1970): 377–387. https://doi.org/10.1145/362384.362685.</w:t>
      </w:r>
    </w:p>
    <w:p>
      <w:pPr>
        <w:spacing w:after="120"/>
        <w:ind w:hanging="425" w:left="425"/>
      </w:pPr>
      <w:r>
        <w:rPr>
          <w:rFonts w:ascii="Times New Roman" w:hAnsi="Times New Roman" w:eastAsia="Times New Roman"/>
          <w:sz w:val="24"/>
        </w:rPr>
        <w:t xml:space="preserve">DiPasquale, David M. </w:t>
      </w:r>
      <w:r>
        <w:rPr>
          <w:rFonts w:ascii="Times New Roman" w:hAnsi="Times New Roman" w:eastAsia="Times New Roman"/>
          <w:i/>
          <w:sz w:val="24"/>
        </w:rPr>
        <w:t>Alfarabi’s Book of Dialectic (Kitab al-Jadal): On the Starting Point of Islamic Philosophy</w:t>
      </w:r>
      <w:r>
        <w:rPr>
          <w:rFonts w:ascii="Times New Roman" w:hAnsi="Times New Roman" w:eastAsia="Times New Roman"/>
          <w:sz w:val="24"/>
        </w:rPr>
        <w:t>. Cambridge: Cambridge University Press, 2019. https://doi.org/10.1017/9781108277822.</w:t>
      </w:r>
    </w:p>
    <w:p>
      <w:pPr>
        <w:spacing w:after="120"/>
        <w:ind w:hanging="425" w:left="425"/>
      </w:pPr>
      <w:r>
        <w:rPr>
          <w:rFonts w:ascii="Times New Roman" w:hAnsi="Times New Roman" w:eastAsia="Times New Roman"/>
          <w:sz w:val="24"/>
        </w:rPr>
        <w:t xml:space="preserve">Druart, Therese-Anne. “Al-Farabi.” </w:t>
      </w:r>
      <w:r>
        <w:rPr>
          <w:rFonts w:ascii="Times New Roman" w:hAnsi="Times New Roman" w:eastAsia="Times New Roman"/>
          <w:i/>
          <w:sz w:val="24"/>
        </w:rPr>
        <w:t>Stanford Encyclopedia of Philosophy</w:t>
      </w:r>
      <w:r>
        <w:rPr>
          <w:rFonts w:ascii="Times New Roman" w:hAnsi="Times New Roman" w:eastAsia="Times New Roman"/>
          <w:sz w:val="24"/>
        </w:rPr>
        <w:t>. Last modified May 14, 2024. https://plato.stanford.edu/entries/al-farabi/.</w:t>
      </w:r>
    </w:p>
    <w:p>
      <w:pPr>
        <w:spacing w:after="120"/>
        <w:ind w:hanging="425" w:left="425"/>
      </w:pPr>
      <w:r>
        <w:rPr>
          <w:rFonts w:ascii="Times New Roman" w:hAnsi="Times New Roman" w:eastAsia="Times New Roman"/>
          <w:sz w:val="24"/>
        </w:rPr>
        <w:t xml:space="preserve">Adriaans, Pieter. “Information.” </w:t>
      </w:r>
      <w:r>
        <w:rPr>
          <w:rFonts w:ascii="Times New Roman" w:hAnsi="Times New Roman" w:eastAsia="Times New Roman"/>
          <w:i/>
          <w:sz w:val="24"/>
        </w:rPr>
        <w:t>Stanford Encyclopedia of Philosophy</w:t>
      </w:r>
      <w:r>
        <w:rPr>
          <w:rFonts w:ascii="Times New Roman" w:hAnsi="Times New Roman" w:eastAsia="Times New Roman"/>
          <w:sz w:val="24"/>
        </w:rPr>
        <w:t>. Last modified November 1, 2023. https://plato.stanford.edu/entries/information/.</w:t>
      </w:r>
    </w:p>
    <w:p>
      <w:pPr>
        <w:spacing w:after="120"/>
        <w:ind w:hanging="425" w:left="425"/>
      </w:pPr>
      <w:r>
        <w:rPr>
          <w:rFonts w:ascii="Times New Roman" w:hAnsi="Times New Roman" w:eastAsia="Times New Roman"/>
          <w:sz w:val="24"/>
        </w:rPr>
        <w:t xml:space="preserve">Gutas, Dimitri. </w:t>
      </w:r>
      <w:r>
        <w:rPr>
          <w:rFonts w:ascii="Times New Roman" w:hAnsi="Times New Roman" w:eastAsia="Times New Roman"/>
          <w:i/>
          <w:sz w:val="24"/>
        </w:rPr>
        <w:t>Greek Thought, Arabic Culture: The Graeco-Arabic Translation Movement in Baghdad and Early ʿAbbasid Society (2nd–4th/8th–10th Centuries)</w:t>
      </w:r>
      <w:r>
        <w:rPr>
          <w:rFonts w:ascii="Times New Roman" w:hAnsi="Times New Roman" w:eastAsia="Times New Roman"/>
          <w:sz w:val="24"/>
        </w:rPr>
        <w:t>. London: Routledge, 1998.</w:t>
      </w:r>
    </w:p>
    <w:p>
      <w:pPr>
        <w:spacing w:after="120"/>
        <w:ind w:hanging="425" w:left="425"/>
      </w:pPr>
      <w:r>
        <w:rPr>
          <w:rFonts w:ascii="Times New Roman" w:hAnsi="Times New Roman" w:eastAsia="Times New Roman"/>
          <w:sz w:val="24"/>
        </w:rPr>
        <w:t xml:space="preserve">Gutas, Dimitri. “Ibn Sina [Avicenna].” </w:t>
      </w:r>
      <w:r>
        <w:rPr>
          <w:rFonts w:ascii="Times New Roman" w:hAnsi="Times New Roman" w:eastAsia="Times New Roman"/>
          <w:i/>
          <w:sz w:val="24"/>
        </w:rPr>
        <w:t>Stanford Encyclopedia of Philosophy</w:t>
      </w:r>
      <w:r>
        <w:rPr>
          <w:rFonts w:ascii="Times New Roman" w:hAnsi="Times New Roman" w:eastAsia="Times New Roman"/>
          <w:sz w:val="24"/>
        </w:rPr>
        <w:t>. Last modified October 31, 2025. https://plato.stanford.edu/entries/ibn-sina/.</w:t>
      </w:r>
    </w:p>
    <w:p>
      <w:pPr>
        <w:spacing w:after="120"/>
        <w:ind w:hanging="425" w:left="425"/>
      </w:pPr>
      <w:r>
        <w:rPr>
          <w:rFonts w:ascii="Times New Roman" w:hAnsi="Times New Roman" w:eastAsia="Times New Roman"/>
          <w:sz w:val="24"/>
        </w:rPr>
        <w:t xml:space="preserve">Hodges, Wilfrid, and Therese-Anne Druart. “Al-Farabi’s Philosophy of Logic and Language.” </w:t>
      </w:r>
      <w:r>
        <w:rPr>
          <w:rFonts w:ascii="Times New Roman" w:hAnsi="Times New Roman" w:eastAsia="Times New Roman"/>
          <w:i/>
          <w:sz w:val="24"/>
        </w:rPr>
        <w:t>Stanford Encyclopedia of Philosophy</w:t>
      </w:r>
      <w:r>
        <w:rPr>
          <w:rFonts w:ascii="Times New Roman" w:hAnsi="Times New Roman" w:eastAsia="Times New Roman"/>
          <w:sz w:val="24"/>
        </w:rPr>
        <w:t>. Last modified May 9, 2023. https://plato.stanford.edu/entries/al-farabi-logic/.</w:t>
      </w:r>
    </w:p>
    <w:p>
      <w:pPr>
        <w:spacing w:after="120"/>
        <w:ind w:hanging="425" w:left="425"/>
      </w:pPr>
      <w:r>
        <w:rPr>
          <w:rFonts w:ascii="Times New Roman" w:hAnsi="Times New Roman" w:eastAsia="Times New Roman"/>
          <w:sz w:val="24"/>
        </w:rPr>
        <w:t xml:space="preserve">Mackensen, Ruth Stellhorn. “Four Great Libraries of Medieval Baghdad.” </w:t>
      </w:r>
      <w:r>
        <w:rPr>
          <w:rFonts w:ascii="Times New Roman" w:hAnsi="Times New Roman" w:eastAsia="Times New Roman"/>
          <w:i/>
          <w:sz w:val="24"/>
        </w:rPr>
        <w:t>The Library Quarterly</w:t>
      </w:r>
      <w:r>
        <w:rPr>
          <w:rFonts w:ascii="Times New Roman" w:hAnsi="Times New Roman" w:eastAsia="Times New Roman"/>
          <w:sz w:val="24"/>
        </w:rPr>
        <w:t xml:space="preserve"> 2, no. 3 (1932): 279–299. https://doi.org/10.1086/613127.</w:t>
      </w:r>
    </w:p>
    <w:p>
      <w:pPr>
        <w:spacing w:after="120"/>
        <w:ind w:hanging="425" w:left="425"/>
      </w:pPr>
      <w:r>
        <w:rPr>
          <w:rFonts w:ascii="Times New Roman" w:hAnsi="Times New Roman" w:eastAsia="Times New Roman"/>
          <w:sz w:val="24"/>
        </w:rPr>
        <w:t xml:space="preserve">Mahdi, Muhsin, trans. </w:t>
      </w:r>
      <w:r>
        <w:rPr>
          <w:rFonts w:ascii="Times New Roman" w:hAnsi="Times New Roman" w:eastAsia="Times New Roman"/>
          <w:i/>
          <w:sz w:val="24"/>
        </w:rPr>
        <w:t>Alfarabi’s Philosophy of Plato and Aristotle</w:t>
      </w:r>
      <w:r>
        <w:rPr>
          <w:rFonts w:ascii="Times New Roman" w:hAnsi="Times New Roman" w:eastAsia="Times New Roman"/>
          <w:sz w:val="24"/>
        </w:rPr>
        <w:t>. Ithaca, NY: Cornell University Press, 1969.</w:t>
      </w:r>
    </w:p>
    <w:p>
      <w:pPr>
        <w:spacing w:after="120"/>
        <w:ind w:hanging="425" w:left="425"/>
      </w:pPr>
      <w:r>
        <w:rPr>
          <w:rFonts w:ascii="Times New Roman" w:hAnsi="Times New Roman" w:eastAsia="Times New Roman"/>
          <w:sz w:val="24"/>
        </w:rPr>
        <w:t xml:space="preserve">Manning, Christopher D., Prabhakar Raghavan, and Hinrich Schütze. </w:t>
      </w:r>
      <w:r>
        <w:rPr>
          <w:rFonts w:ascii="Times New Roman" w:hAnsi="Times New Roman" w:eastAsia="Times New Roman"/>
          <w:i/>
          <w:sz w:val="24"/>
        </w:rPr>
        <w:t>Introduction to Information Retrieval</w:t>
      </w:r>
      <w:r>
        <w:rPr>
          <w:rFonts w:ascii="Times New Roman" w:hAnsi="Times New Roman" w:eastAsia="Times New Roman"/>
          <w:sz w:val="24"/>
        </w:rPr>
        <w:t>. Cambridge: Cambridge University Press, 2008. https://doi.org/10.1017/CBO9780511809071.</w:t>
      </w:r>
    </w:p>
    <w:p>
      <w:pPr>
        <w:spacing w:after="120"/>
        <w:ind w:hanging="425" w:left="425"/>
      </w:pPr>
      <w:r>
        <w:rPr>
          <w:rFonts w:ascii="Times New Roman" w:hAnsi="Times New Roman" w:eastAsia="Times New Roman"/>
          <w:sz w:val="24"/>
        </w:rPr>
        <w:t xml:space="preserve">Pedersen, Johannes. </w:t>
      </w:r>
      <w:r>
        <w:rPr>
          <w:rFonts w:ascii="Times New Roman" w:hAnsi="Times New Roman" w:eastAsia="Times New Roman"/>
          <w:i/>
          <w:sz w:val="24"/>
        </w:rPr>
        <w:t>The Arabic Book</w:t>
      </w:r>
      <w:r>
        <w:rPr>
          <w:rFonts w:ascii="Times New Roman" w:hAnsi="Times New Roman" w:eastAsia="Times New Roman"/>
          <w:sz w:val="24"/>
        </w:rPr>
        <w:t>. Translated by Geoffrey French. Edited by Robert Hillenbrand. Princeton: Princeton University Press, 1984.</w:t>
      </w:r>
    </w:p>
    <w:p>
      <w:pPr>
        <w:spacing w:after="120"/>
        <w:ind w:hanging="425" w:left="425"/>
      </w:pPr>
      <w:r>
        <w:rPr>
          <w:rFonts w:ascii="Times New Roman" w:hAnsi="Times New Roman" w:eastAsia="Times New Roman"/>
          <w:sz w:val="24"/>
        </w:rPr>
        <w:t xml:space="preserve">Smith, Robin. “Aristotle’s Logic.” </w:t>
      </w:r>
      <w:r>
        <w:rPr>
          <w:rFonts w:ascii="Times New Roman" w:hAnsi="Times New Roman" w:eastAsia="Times New Roman"/>
          <w:i/>
          <w:sz w:val="24"/>
        </w:rPr>
        <w:t>Stanford Encyclopedia of Philosophy</w:t>
      </w:r>
      <w:r>
        <w:rPr>
          <w:rFonts w:ascii="Times New Roman" w:hAnsi="Times New Roman" w:eastAsia="Times New Roman"/>
          <w:sz w:val="24"/>
        </w:rPr>
        <w:t>. Last modified November 22, 2022. https://plato.stanford.edu/entries/aristotle-logic/.</w:t>
      </w:r>
    </w:p>
    <w:p>
      <w:pPr>
        <w:spacing w:after="120"/>
        <w:ind w:hanging="425" w:left="425"/>
      </w:pPr>
      <w:r>
        <w:rPr>
          <w:rFonts w:ascii="Times New Roman" w:hAnsi="Times New Roman" w:eastAsia="Times New Roman"/>
          <w:sz w:val="24"/>
        </w:rPr>
        <w:t xml:space="preserve">Zimmermann, F. W., ed. </w:t>
      </w:r>
      <w:r>
        <w:rPr>
          <w:rFonts w:ascii="Times New Roman" w:hAnsi="Times New Roman" w:eastAsia="Times New Roman"/>
          <w:i/>
          <w:sz w:val="24"/>
        </w:rPr>
        <w:t>Al-Farabi’s Commentary and Short Treatise on Aristotle’s De Interpretatione</w:t>
      </w:r>
      <w:r>
        <w:rPr>
          <w:rFonts w:ascii="Times New Roman" w:hAnsi="Times New Roman" w:eastAsia="Times New Roman"/>
          <w:sz w:val="24"/>
        </w:rPr>
        <w:t>. London: Oxford University Press for the British Academy, 1981.</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notes.xml><?xml version="1.0" encoding="utf-8"?>
<w:footnotes xmlns:w="http://schemas.openxmlformats.org/wordprocessingml/2006/main">
  <w:footnote w:type="separator" w:id="0">
    <w:p>
      <w:r>
        <w:separator/>
      </w:r>
    </w:p>
  </w:footnote>
  <w:footnote w:type="continuationSeparator" w:id="1">
    <w:p>
      <w:r>
        <w:continuationSeparator/>
      </w:r>
    </w:p>
  </w:footnote>
  <w:footnote w:id="1">
    <w:p>
      <w:pPr>
        <w:jc w:val="left"/>
      </w:pPr>
      <w:r>
        <w:rPr>
          <w:rFonts w:ascii="Times New Roman" w:hAnsi="Times New Roman" w:eastAsia="Times New Roman" w:cs="Times New Roman"/>
          <w:sz w:val="20"/>
          <w:szCs w:val="20"/>
        </w:rPr>
        <w:t xml:space="preserve">Adel Abdul-Aziz Algeriani and Mawloud Mohadi, “The House of Wisdom (Bayt al-Hikmah) and Its Civilizational Impact on Islamic Libraries: A Historical Perspective,” </w:t>
      </w:r>
      <w:r>
        <w:rPr>
          <w:rFonts w:ascii="Times New Roman" w:hAnsi="Times New Roman" w:eastAsia="Times New Roman" w:cs="Times New Roman"/>
          <w:sz w:val="20"/>
          <w:szCs w:val="20"/>
          <w:i/>
          <w:iCs/>
        </w:rPr>
        <w:t xml:space="preserve">Mediterranean Journal of Social Sciences</w:t>
      </w:r>
      <w:r>
        <w:rPr>
          <w:rFonts w:ascii="Times New Roman" w:hAnsi="Times New Roman" w:eastAsia="Times New Roman" w:cs="Times New Roman"/>
          <w:sz w:val="20"/>
          <w:szCs w:val="20"/>
        </w:rPr>
        <w:t xml:space="preserve"> 8, no. 5 (2017): 179–187, https://doi.org/10.1515/mjss-2017-0036.</w:t>
      </w:r>
    </w:p>
  </w:footnote>
  <w:footnote w:id="2">
    <w:p>
      <w:pPr>
        <w:jc w:val="left"/>
      </w:pPr>
      <w:r>
        <w:rPr>
          <w:rFonts w:ascii="Times New Roman" w:hAnsi="Times New Roman" w:eastAsia="Times New Roman" w:cs="Times New Roman"/>
          <w:sz w:val="20"/>
          <w:szCs w:val="20"/>
        </w:rPr>
        <w:t xml:space="preserve">Ruth Stellhorn Mackensen, “Four Great Libraries of Medieval Baghdad,” </w:t>
      </w:r>
      <w:r>
        <w:rPr>
          <w:rFonts w:ascii="Times New Roman" w:hAnsi="Times New Roman" w:eastAsia="Times New Roman" w:cs="Times New Roman"/>
          <w:sz w:val="20"/>
          <w:szCs w:val="20"/>
          <w:i/>
          <w:iCs/>
        </w:rPr>
        <w:t xml:space="preserve">The Library Quarterly</w:t>
      </w:r>
      <w:r>
        <w:rPr>
          <w:rFonts w:ascii="Times New Roman" w:hAnsi="Times New Roman" w:eastAsia="Times New Roman" w:cs="Times New Roman"/>
          <w:sz w:val="20"/>
          <w:szCs w:val="20"/>
        </w:rPr>
        <w:t xml:space="preserve"> 2, no. 3 (1932): 279–299, https://doi.org/10.1086/613127.</w:t>
      </w:r>
    </w:p>
  </w:footnote>
  <w:footnote w:id="3">
    <w:p>
      <w:pPr>
        <w:jc w:val="left"/>
      </w:pPr>
      <w:r>
        <w:rPr>
          <w:rFonts w:ascii="Times New Roman" w:hAnsi="Times New Roman" w:eastAsia="Times New Roman" w:cs="Times New Roman"/>
          <w:sz w:val="20"/>
          <w:szCs w:val="20"/>
        </w:rPr>
        <w:t xml:space="preserve">Therese-Anne Druart, “Al-Farabi,” </w:t>
      </w:r>
      <w:r>
        <w:rPr>
          <w:rFonts w:ascii="Times New Roman" w:hAnsi="Times New Roman" w:eastAsia="Times New Roman" w:cs="Times New Roman"/>
          <w:sz w:val="20"/>
          <w:szCs w:val="20"/>
          <w:i/>
          <w:iCs/>
        </w:rPr>
        <w:t xml:space="preserve">Stanford Encyclopedia of Philosophy</w:t>
      </w:r>
      <w:r>
        <w:rPr>
          <w:rFonts w:ascii="Times New Roman" w:hAnsi="Times New Roman" w:eastAsia="Times New Roman" w:cs="Times New Roman"/>
          <w:sz w:val="20"/>
          <w:szCs w:val="20"/>
        </w:rPr>
        <w:t xml:space="preserve">, last modified May 14, 2024, https://plato.stanford.edu/entries/al-farabi/.</w:t>
      </w:r>
    </w:p>
  </w:footnote>
  <w:footnote w:id="4">
    <w:p>
      <w:pPr>
        <w:jc w:val="left"/>
      </w:pPr>
      <w:r>
        <w:rPr>
          <w:rFonts w:ascii="Times New Roman" w:hAnsi="Times New Roman" w:eastAsia="Times New Roman" w:cs="Times New Roman"/>
          <w:sz w:val="20"/>
          <w:szCs w:val="20"/>
        </w:rPr>
        <w:t xml:space="preserve">Wilfrid Hodges and Therese-Anne Druart, “Al-Farabi’s Philosophy of Logic and Language,” </w:t>
      </w:r>
      <w:r>
        <w:rPr>
          <w:rFonts w:ascii="Times New Roman" w:hAnsi="Times New Roman" w:eastAsia="Times New Roman" w:cs="Times New Roman"/>
          <w:sz w:val="20"/>
          <w:szCs w:val="20"/>
          <w:i/>
          <w:iCs/>
        </w:rPr>
        <w:t xml:space="preserve">Stanford Encyclopedia of Philosophy</w:t>
      </w:r>
      <w:r>
        <w:rPr>
          <w:rFonts w:ascii="Times New Roman" w:hAnsi="Times New Roman" w:eastAsia="Times New Roman" w:cs="Times New Roman"/>
          <w:sz w:val="20"/>
          <w:szCs w:val="20"/>
        </w:rPr>
        <w:t xml:space="preserve">, last modified May 9, 2023, https://plato.stanford.edu/entries/al-farabi-logic/.</w:t>
      </w:r>
    </w:p>
  </w:footnote>
  <w:footnote w:id="5">
    <w:p>
      <w:pPr>
        <w:jc w:val="left"/>
      </w:pPr>
      <w:r>
        <w:rPr>
          <w:rFonts w:ascii="Times New Roman" w:hAnsi="Times New Roman" w:eastAsia="Times New Roman" w:cs="Times New Roman"/>
          <w:sz w:val="20"/>
          <w:szCs w:val="20"/>
        </w:rPr>
        <w:t xml:space="preserve">F. W. Zimmermann, ed., </w:t>
      </w:r>
      <w:r>
        <w:rPr>
          <w:rFonts w:ascii="Times New Roman" w:hAnsi="Times New Roman" w:eastAsia="Times New Roman" w:cs="Times New Roman"/>
          <w:sz w:val="20"/>
          <w:szCs w:val="20"/>
          <w:i/>
          <w:iCs/>
        </w:rPr>
        <w:t xml:space="preserve">Al-Farabi’s Commentary and Short Treatise on Aristotle’s De Interpretatione</w:t>
      </w:r>
      <w:r>
        <w:rPr>
          <w:rFonts w:ascii="Times New Roman" w:hAnsi="Times New Roman" w:eastAsia="Times New Roman" w:cs="Times New Roman"/>
          <w:sz w:val="20"/>
          <w:szCs w:val="20"/>
        </w:rPr>
        <w:t xml:space="preserve"> (London: Oxford University Press for the British Academy, 1981).</w:t>
      </w:r>
    </w:p>
  </w:footnote>
  <w:footnote w:id="6">
    <w:p>
      <w:pPr>
        <w:jc w:val="left"/>
      </w:pPr>
      <w:r>
        <w:rPr>
          <w:rFonts w:ascii="Times New Roman" w:hAnsi="Times New Roman" w:eastAsia="Times New Roman" w:cs="Times New Roman"/>
          <w:sz w:val="20"/>
          <w:szCs w:val="20"/>
        </w:rPr>
        <w:t xml:space="preserve">Saloua Chatti, </w:t>
      </w:r>
      <w:r>
        <w:rPr>
          <w:rFonts w:ascii="Times New Roman" w:hAnsi="Times New Roman" w:eastAsia="Times New Roman" w:cs="Times New Roman"/>
          <w:sz w:val="20"/>
          <w:szCs w:val="20"/>
          <w:i/>
          <w:iCs/>
        </w:rPr>
        <w:t xml:space="preserve">Arabic Logic from al-Farabi to Averroes: A Study of the Early Arabic Categorical, Modal, and Hypothetical Syllogistics</w:t>
      </w:r>
      <w:r>
        <w:rPr>
          <w:rFonts w:ascii="Times New Roman" w:hAnsi="Times New Roman" w:eastAsia="Times New Roman" w:cs="Times New Roman"/>
          <w:sz w:val="20"/>
          <w:szCs w:val="20"/>
        </w:rPr>
        <w:t xml:space="preserve"> (Cham: Springer, 2019), https://doi.org/10.1007/978-3-030-27466-5.</w:t>
      </w:r>
    </w:p>
  </w:footnote>
  <w:footnote w:id="7">
    <w:p>
      <w:pPr>
        <w:jc w:val="left"/>
      </w:pPr>
      <w:r>
        <w:rPr>
          <w:rFonts w:ascii="Times New Roman" w:hAnsi="Times New Roman" w:eastAsia="Times New Roman" w:cs="Times New Roman"/>
          <w:sz w:val="20"/>
          <w:szCs w:val="20"/>
        </w:rPr>
        <w:t xml:space="preserve">Deborah L. Black, </w:t>
      </w:r>
      <w:r>
        <w:rPr>
          <w:rFonts w:ascii="Times New Roman" w:hAnsi="Times New Roman" w:eastAsia="Times New Roman" w:cs="Times New Roman"/>
          <w:sz w:val="20"/>
          <w:szCs w:val="20"/>
          <w:i/>
          <w:iCs/>
        </w:rPr>
        <w:t xml:space="preserve">Logic and Aristotle’s Rhetoric and Poetics in Medieval Arabic Philosophy</w:t>
      </w:r>
      <w:r>
        <w:rPr>
          <w:rFonts w:ascii="Times New Roman" w:hAnsi="Times New Roman" w:eastAsia="Times New Roman" w:cs="Times New Roman"/>
          <w:sz w:val="20"/>
          <w:szCs w:val="20"/>
        </w:rPr>
        <w:t xml:space="preserve"> (Leiden: Brill, 1990), https://doi.org/10.1163/9789004452398.</w:t>
      </w:r>
    </w:p>
  </w:footnote>
  <w:footnote w:id="8">
    <w:p>
      <w:pPr>
        <w:jc w:val="left"/>
      </w:pPr>
      <w:r>
        <w:rPr>
          <w:rFonts w:ascii="Times New Roman" w:hAnsi="Times New Roman" w:eastAsia="Times New Roman" w:cs="Times New Roman"/>
          <w:sz w:val="20"/>
          <w:szCs w:val="20"/>
        </w:rPr>
        <w:t xml:space="preserve">David M. DiPasquale, </w:t>
      </w:r>
      <w:r>
        <w:rPr>
          <w:rFonts w:ascii="Times New Roman" w:hAnsi="Times New Roman" w:eastAsia="Times New Roman" w:cs="Times New Roman"/>
          <w:sz w:val="20"/>
          <w:szCs w:val="20"/>
          <w:i/>
          <w:iCs/>
        </w:rPr>
        <w:t xml:space="preserve">Alfarabi’s Book of Dialectic (Kitab al-Jadal): On the Starting Point of Islamic Philosophy</w:t>
      </w:r>
      <w:r>
        <w:rPr>
          <w:rFonts w:ascii="Times New Roman" w:hAnsi="Times New Roman" w:eastAsia="Times New Roman" w:cs="Times New Roman"/>
          <w:sz w:val="20"/>
          <w:szCs w:val="20"/>
        </w:rPr>
        <w:t xml:space="preserve"> (Cambridge: Cambridge University Press, 2019), https://doi.org/10.1017/9781108277822.</w:t>
      </w:r>
    </w:p>
  </w:footnote>
  <w:footnote w:id="9">
    <w:p>
      <w:pPr>
        <w:jc w:val="left"/>
      </w:pPr>
      <w:r>
        <w:rPr>
          <w:rFonts w:ascii="Times New Roman" w:hAnsi="Times New Roman" w:eastAsia="Times New Roman" w:cs="Times New Roman"/>
          <w:sz w:val="20"/>
          <w:szCs w:val="20"/>
        </w:rPr>
        <w:t xml:space="preserve">Muhsin Mahdi, trans., </w:t>
      </w:r>
      <w:r>
        <w:rPr>
          <w:rFonts w:ascii="Times New Roman" w:hAnsi="Times New Roman" w:eastAsia="Times New Roman" w:cs="Times New Roman"/>
          <w:sz w:val="20"/>
          <w:szCs w:val="20"/>
          <w:i/>
          <w:iCs/>
        </w:rPr>
        <w:t xml:space="preserve">Alfarabi’s Philosophy of Plato and Aristotle</w:t>
      </w:r>
      <w:r>
        <w:rPr>
          <w:rFonts w:ascii="Times New Roman" w:hAnsi="Times New Roman" w:eastAsia="Times New Roman" w:cs="Times New Roman"/>
          <w:sz w:val="20"/>
          <w:szCs w:val="20"/>
        </w:rPr>
        <w:t xml:space="preserve"> (Ithaca, NY: Cornell University Press, 1969).</w:t>
      </w:r>
    </w:p>
  </w:footnote>
  <w:footnote w:id="10">
    <w:p>
      <w:pPr>
        <w:jc w:val="left"/>
      </w:pPr>
      <w:r>
        <w:rPr>
          <w:rFonts w:ascii="Times New Roman" w:hAnsi="Times New Roman" w:eastAsia="Times New Roman" w:cs="Times New Roman"/>
          <w:sz w:val="20"/>
          <w:szCs w:val="20"/>
        </w:rPr>
        <w:t xml:space="preserve">E. F. Codd, “A Relational Model of Data for Large Shared Data Banks,” </w:t>
      </w:r>
      <w:r>
        <w:rPr>
          <w:rFonts w:ascii="Times New Roman" w:hAnsi="Times New Roman" w:eastAsia="Times New Roman" w:cs="Times New Roman"/>
          <w:sz w:val="20"/>
          <w:szCs w:val="20"/>
          <w:i/>
          <w:iCs/>
        </w:rPr>
        <w:t xml:space="preserve">Communications of the ACM</w:t>
      </w:r>
      <w:r>
        <w:rPr>
          <w:rFonts w:ascii="Times New Roman" w:hAnsi="Times New Roman" w:eastAsia="Times New Roman" w:cs="Times New Roman"/>
          <w:sz w:val="20"/>
          <w:szCs w:val="20"/>
        </w:rPr>
        <w:t xml:space="preserve"> 13, no. 6 (1970): 377–387, https://doi.org/10.1145/362384.362685.</w:t>
      </w:r>
    </w:p>
  </w:footnote>
  <w:footnote w:id="11">
    <w:p>
      <w:pPr>
        <w:jc w:val="left"/>
      </w:pPr>
      <w:r>
        <w:rPr>
          <w:rFonts w:ascii="Times New Roman" w:hAnsi="Times New Roman" w:eastAsia="Times New Roman" w:cs="Times New Roman"/>
          <w:sz w:val="20"/>
          <w:szCs w:val="20"/>
        </w:rPr>
        <w:t xml:space="preserve">Christopher D. Manning, Prabhakar Raghavan, and Hinrich Schütze, </w:t>
      </w:r>
      <w:r>
        <w:rPr>
          <w:rFonts w:ascii="Times New Roman" w:hAnsi="Times New Roman" w:eastAsia="Times New Roman" w:cs="Times New Roman"/>
          <w:sz w:val="20"/>
          <w:szCs w:val="20"/>
          <w:i/>
          <w:iCs/>
        </w:rPr>
        <w:t xml:space="preserve">Introduction to Information Retrieval</w:t>
      </w:r>
      <w:r>
        <w:rPr>
          <w:rFonts w:ascii="Times New Roman" w:hAnsi="Times New Roman" w:eastAsia="Times New Roman" w:cs="Times New Roman"/>
          <w:sz w:val="20"/>
          <w:szCs w:val="20"/>
        </w:rPr>
        <w:t xml:space="preserve"> (Cambridge: Cambridge University Press, 2008), https://doi.org/10.1017/CBO9780511809071.</w:t>
      </w:r>
    </w:p>
  </w:footnote>
  <w:footnote w:id="12">
    <w:p>
      <w:pPr>
        <w:jc w:val="left"/>
      </w:pPr>
      <w:r>
        <w:rPr>
          <w:rFonts w:ascii="Times New Roman" w:hAnsi="Times New Roman" w:eastAsia="Times New Roman" w:cs="Times New Roman"/>
          <w:sz w:val="20"/>
          <w:szCs w:val="20"/>
        </w:rPr>
        <w:t xml:space="preserve">Pieter Adriaans, “Information,” </w:t>
      </w:r>
      <w:r>
        <w:rPr>
          <w:rFonts w:ascii="Times New Roman" w:hAnsi="Times New Roman" w:eastAsia="Times New Roman" w:cs="Times New Roman"/>
          <w:sz w:val="20"/>
          <w:szCs w:val="20"/>
          <w:i/>
          <w:iCs/>
        </w:rPr>
        <w:t xml:space="preserve">Stanford Encyclopedia of Philosophy</w:t>
      </w:r>
      <w:r>
        <w:rPr>
          <w:rFonts w:ascii="Times New Roman" w:hAnsi="Times New Roman" w:eastAsia="Times New Roman" w:cs="Times New Roman"/>
          <w:sz w:val="20"/>
          <w:szCs w:val="20"/>
        </w:rPr>
        <w:t xml:space="preserve">, last modified November 1, 2023, https://plato.stanford.edu/entries/information/.</w:t>
      </w:r>
    </w:p>
  </w:footnote>
  <w:footnote w:id="13">
    <w:p>
      <w:pPr>
        <w:jc w:val="left"/>
      </w:pPr>
      <w:r>
        <w:rPr>
          <w:rFonts w:ascii="Times New Roman" w:hAnsi="Times New Roman" w:eastAsia="Times New Roman" w:cs="Times New Roman"/>
          <w:sz w:val="20"/>
          <w:szCs w:val="20"/>
        </w:rPr>
        <w:t xml:space="preserve">Dimitri Gutas, </w:t>
      </w:r>
      <w:r>
        <w:rPr>
          <w:rFonts w:ascii="Times New Roman" w:hAnsi="Times New Roman" w:eastAsia="Times New Roman" w:cs="Times New Roman"/>
          <w:sz w:val="20"/>
          <w:szCs w:val="20"/>
          <w:i/>
          <w:iCs/>
        </w:rPr>
        <w:t xml:space="preserve">Greek Thought, Arabic Culture: The Graeco-Arabic Translation Movement in Baghdad and Early ʿAbbasid Society (2nd–4th/8th–10th Centuries)</w:t>
      </w:r>
      <w:r>
        <w:rPr>
          <w:rFonts w:ascii="Times New Roman" w:hAnsi="Times New Roman" w:eastAsia="Times New Roman" w:cs="Times New Roman"/>
          <w:sz w:val="20"/>
          <w:szCs w:val="20"/>
        </w:rPr>
        <w:t xml:space="preserve"> (London: Routledge, 1998).</w:t>
      </w:r>
    </w:p>
  </w:footnote>
  <w:footnote w:id="14">
    <w:p>
      <w:pPr>
        <w:jc w:val="left"/>
      </w:pPr>
      <w:r>
        <w:rPr>
          <w:rFonts w:ascii="Times New Roman" w:hAnsi="Times New Roman" w:eastAsia="Times New Roman" w:cs="Times New Roman"/>
          <w:sz w:val="20"/>
          <w:szCs w:val="20"/>
        </w:rPr>
        <w:t xml:space="preserve">Algeriani and Mohadi, “House of Wisdom.”</w:t>
      </w:r>
    </w:p>
  </w:footnote>
  <w:footnote w:id="15">
    <w:p>
      <w:pPr>
        <w:jc w:val="left"/>
      </w:pPr>
      <w:r>
        <w:rPr>
          <w:rFonts w:ascii="Times New Roman" w:hAnsi="Times New Roman" w:eastAsia="Times New Roman" w:cs="Times New Roman"/>
          <w:sz w:val="20"/>
          <w:szCs w:val="20"/>
        </w:rPr>
        <w:t xml:space="preserve">Johannes Pedersen, </w:t>
      </w:r>
      <w:r>
        <w:rPr>
          <w:rFonts w:ascii="Times New Roman" w:hAnsi="Times New Roman" w:eastAsia="Times New Roman" w:cs="Times New Roman"/>
          <w:sz w:val="20"/>
          <w:szCs w:val="20"/>
          <w:i/>
          <w:iCs/>
        </w:rPr>
        <w:t xml:space="preserve">The Arabic Book</w:t>
      </w:r>
      <w:r>
        <w:rPr>
          <w:rFonts w:ascii="Times New Roman" w:hAnsi="Times New Roman" w:eastAsia="Times New Roman" w:cs="Times New Roman"/>
          <w:sz w:val="20"/>
          <w:szCs w:val="20"/>
        </w:rPr>
        <w:t xml:space="preserve">, trans. Geoffrey French, ed. Robert Hillenbrand (Princeton: Princeton University Press, 1984).</w:t>
      </w:r>
    </w:p>
  </w:footnote>
  <w:footnote w:id="16">
    <w:p>
      <w:pPr>
        <w:jc w:val="left"/>
      </w:pPr>
      <w:r>
        <w:rPr>
          <w:rFonts w:ascii="Times New Roman" w:hAnsi="Times New Roman" w:eastAsia="Times New Roman" w:cs="Times New Roman"/>
          <w:sz w:val="20"/>
          <w:szCs w:val="20"/>
        </w:rPr>
        <w:t xml:space="preserve">Mackensen, “Four Great Libraries.”</w:t>
      </w:r>
    </w:p>
  </w:footnote>
  <w:footnote w:id="17">
    <w:p>
      <w:pPr>
        <w:jc w:val="left"/>
      </w:pPr>
      <w:r>
        <w:rPr>
          <w:rFonts w:ascii="Times New Roman" w:hAnsi="Times New Roman" w:eastAsia="Times New Roman" w:cs="Times New Roman"/>
          <w:sz w:val="20"/>
          <w:szCs w:val="20"/>
        </w:rPr>
        <w:t xml:space="preserve">Gutas, </w:t>
      </w:r>
      <w:r>
        <w:rPr>
          <w:rFonts w:ascii="Times New Roman" w:hAnsi="Times New Roman" w:eastAsia="Times New Roman" w:cs="Times New Roman"/>
          <w:sz w:val="20"/>
          <w:szCs w:val="20"/>
          <w:i/>
          <w:iCs/>
        </w:rPr>
        <w:t xml:space="preserve">Greek Thought, Arabic Culture</w:t>
      </w:r>
      <w:r>
        <w:rPr>
          <w:rFonts w:ascii="Times New Roman" w:hAnsi="Times New Roman" w:eastAsia="Times New Roman" w:cs="Times New Roman"/>
          <w:sz w:val="20"/>
          <w:szCs w:val="20"/>
        </w:rPr>
        <w:t xml:space="preserve">.</w:t>
      </w:r>
    </w:p>
  </w:footnote>
  <w:footnote w:id="18">
    <w:p>
      <w:pPr>
        <w:jc w:val="left"/>
      </w:pPr>
      <w:r>
        <w:rPr>
          <w:rFonts w:ascii="Times New Roman" w:hAnsi="Times New Roman" w:eastAsia="Times New Roman" w:cs="Times New Roman"/>
          <w:sz w:val="20"/>
          <w:szCs w:val="20"/>
        </w:rPr>
        <w:t xml:space="preserve">Algeriani and Mohadi, “House of Wisdom.”</w:t>
      </w:r>
    </w:p>
  </w:footnote>
  <w:footnote w:id="19">
    <w:p>
      <w:pPr>
        <w:jc w:val="left"/>
      </w:pPr>
      <w:r>
        <w:rPr>
          <w:rFonts w:ascii="Times New Roman" w:hAnsi="Times New Roman" w:eastAsia="Times New Roman" w:cs="Times New Roman"/>
          <w:sz w:val="20"/>
          <w:szCs w:val="20"/>
        </w:rPr>
        <w:t xml:space="preserve">Hodges and Druart, “Al-Farabi’s Philosophy of Logic and Language.”</w:t>
      </w:r>
    </w:p>
  </w:footnote>
  <w:footnote w:id="20">
    <w:p>
      <w:pPr>
        <w:jc w:val="left"/>
      </w:pPr>
      <w:r>
        <w:rPr>
          <w:rFonts w:ascii="Times New Roman" w:hAnsi="Times New Roman" w:eastAsia="Times New Roman" w:cs="Times New Roman"/>
          <w:sz w:val="20"/>
          <w:szCs w:val="20"/>
        </w:rPr>
        <w:t xml:space="preserve">Druart, “Al-Farabi.”</w:t>
      </w:r>
    </w:p>
  </w:footnote>
  <w:footnote w:id="21">
    <w:p>
      <w:pPr>
        <w:jc w:val="left"/>
      </w:pPr>
      <w:r>
        <w:rPr>
          <w:rFonts w:ascii="Times New Roman" w:hAnsi="Times New Roman" w:eastAsia="Times New Roman" w:cs="Times New Roman"/>
          <w:sz w:val="20"/>
          <w:szCs w:val="20"/>
        </w:rPr>
        <w:t xml:space="preserve">Zimmermann, </w:t>
      </w:r>
      <w:r>
        <w:rPr>
          <w:rFonts w:ascii="Times New Roman" w:hAnsi="Times New Roman" w:eastAsia="Times New Roman" w:cs="Times New Roman"/>
          <w:sz w:val="20"/>
          <w:szCs w:val="20"/>
          <w:i/>
          <w:iCs/>
        </w:rPr>
        <w:t xml:space="preserve">Al-Farabi’s Commentary</w:t>
      </w:r>
      <w:r>
        <w:rPr>
          <w:rFonts w:ascii="Times New Roman" w:hAnsi="Times New Roman" w:eastAsia="Times New Roman" w:cs="Times New Roman"/>
          <w:sz w:val="20"/>
          <w:szCs w:val="20"/>
        </w:rPr>
        <w:t xml:space="preserve">.</w:t>
      </w:r>
    </w:p>
  </w:footnote>
  <w:footnote w:id="22">
    <w:p>
      <w:pPr>
        <w:jc w:val="left"/>
      </w:pPr>
      <w:r>
        <w:rPr>
          <w:rFonts w:ascii="Times New Roman" w:hAnsi="Times New Roman" w:eastAsia="Times New Roman" w:cs="Times New Roman"/>
          <w:sz w:val="20"/>
          <w:szCs w:val="20"/>
        </w:rPr>
        <w:t xml:space="preserve">Mackensen, “Four Great Libraries.”</w:t>
      </w:r>
    </w:p>
  </w:footnote>
  <w:footnote w:id="23">
    <w:p>
      <w:pPr>
        <w:jc w:val="left"/>
      </w:pPr>
      <w:r>
        <w:rPr>
          <w:rFonts w:ascii="Times New Roman" w:hAnsi="Times New Roman" w:eastAsia="Times New Roman" w:cs="Times New Roman"/>
          <w:sz w:val="20"/>
          <w:szCs w:val="20"/>
        </w:rPr>
        <w:t xml:space="preserve">Codd, “Relational Model.”, 381.</w:t>
      </w:r>
    </w:p>
  </w:footnote>
  <w:footnote w:id="24">
    <w:p>
      <w:pPr>
        <w:jc w:val="left"/>
      </w:pPr>
      <w:r>
        <w:rPr>
          <w:rFonts w:ascii="Times New Roman" w:hAnsi="Times New Roman" w:eastAsia="Times New Roman" w:cs="Times New Roman"/>
          <w:sz w:val="20"/>
          <w:szCs w:val="20"/>
        </w:rPr>
        <w:t xml:space="preserve">Manning, Raghavan, and Schütze, </w:t>
      </w:r>
      <w:r>
        <w:rPr>
          <w:rFonts w:ascii="Times New Roman" w:hAnsi="Times New Roman" w:eastAsia="Times New Roman" w:cs="Times New Roman"/>
          <w:sz w:val="20"/>
          <w:szCs w:val="20"/>
          <w:i/>
          <w:iCs/>
        </w:rPr>
        <w:t xml:space="preserve">Introduction to Information Retrieval</w:t>
      </w:r>
      <w:r>
        <w:rPr>
          <w:rFonts w:ascii="Times New Roman" w:hAnsi="Times New Roman" w:eastAsia="Times New Roman" w:cs="Times New Roman"/>
          <w:sz w:val="20"/>
          <w:szCs w:val="20"/>
        </w:rPr>
        <w:t xml:space="preserve">.</w:t>
      </w:r>
    </w:p>
  </w:footnote>
  <w:footnote w:id="25">
    <w:p>
      <w:pPr>
        <w:jc w:val="left"/>
      </w:pPr>
      <w:r>
        <w:rPr>
          <w:rFonts w:ascii="Times New Roman" w:hAnsi="Times New Roman" w:eastAsia="Times New Roman" w:cs="Times New Roman"/>
          <w:sz w:val="20"/>
          <w:szCs w:val="20"/>
        </w:rPr>
        <w:t xml:space="preserve">Adriaans, “Information.”</w:t>
      </w:r>
    </w:p>
  </w:footnote>
  <w:footnote w:id="26">
    <w:p>
      <w:pPr>
        <w:jc w:val="left"/>
      </w:pPr>
      <w:r>
        <w:rPr>
          <w:rFonts w:ascii="Times New Roman" w:hAnsi="Times New Roman" w:eastAsia="Times New Roman" w:cs="Times New Roman"/>
          <w:sz w:val="20"/>
          <w:szCs w:val="20"/>
        </w:rPr>
        <w:t xml:space="preserve">Druart, “Al-Farabi.”</w:t>
      </w:r>
    </w:p>
  </w:footnote>
  <w:footnote w:id="27">
    <w:p>
      <w:pPr>
        <w:jc w:val="left"/>
      </w:pPr>
      <w:r>
        <w:rPr>
          <w:rFonts w:ascii="Times New Roman" w:hAnsi="Times New Roman" w:eastAsia="Times New Roman" w:cs="Times New Roman"/>
          <w:sz w:val="20"/>
          <w:szCs w:val="20"/>
        </w:rPr>
        <w:t xml:space="preserve">Hodges and Druart, “Al-Farabi’s Philosophy of Logic and Language.”</w:t>
      </w:r>
    </w:p>
  </w:footnote>
  <w:footnote w:id="28">
    <w:p>
      <w:pPr>
        <w:jc w:val="left"/>
      </w:pPr>
      <w:r>
        <w:rPr>
          <w:rFonts w:ascii="Times New Roman" w:hAnsi="Times New Roman" w:eastAsia="Times New Roman" w:cs="Times New Roman"/>
          <w:sz w:val="20"/>
          <w:szCs w:val="20"/>
        </w:rPr>
        <w:t xml:space="preserve">Zimmermann, </w:t>
      </w:r>
      <w:r>
        <w:rPr>
          <w:rFonts w:ascii="Times New Roman" w:hAnsi="Times New Roman" w:eastAsia="Times New Roman" w:cs="Times New Roman"/>
          <w:sz w:val="20"/>
          <w:szCs w:val="20"/>
          <w:i/>
          <w:iCs/>
        </w:rPr>
        <w:t xml:space="preserve">Al-Farabi’s Commentary</w:t>
      </w:r>
      <w:r>
        <w:rPr>
          <w:rFonts w:ascii="Times New Roman" w:hAnsi="Times New Roman" w:eastAsia="Times New Roman" w:cs="Times New Roman"/>
          <w:sz w:val="20"/>
          <w:szCs w:val="20"/>
        </w:rPr>
        <w:t xml:space="preserve">.</w:t>
      </w:r>
    </w:p>
  </w:footnote>
  <w:footnote w:id="29">
    <w:p>
      <w:pPr>
        <w:jc w:val="left"/>
      </w:pPr>
      <w:r>
        <w:rPr>
          <w:rFonts w:ascii="Times New Roman" w:hAnsi="Times New Roman" w:eastAsia="Times New Roman" w:cs="Times New Roman"/>
          <w:sz w:val="20"/>
          <w:szCs w:val="20"/>
        </w:rPr>
        <w:t xml:space="preserve">Chatti, </w:t>
      </w:r>
      <w:r>
        <w:rPr>
          <w:rFonts w:ascii="Times New Roman" w:hAnsi="Times New Roman" w:eastAsia="Times New Roman" w:cs="Times New Roman"/>
          <w:sz w:val="20"/>
          <w:szCs w:val="20"/>
          <w:i/>
          <w:iCs/>
        </w:rPr>
        <w:t xml:space="preserve">Arabic Logic from al-Farabi to Averroes</w:t>
      </w:r>
      <w:r>
        <w:rPr>
          <w:rFonts w:ascii="Times New Roman" w:hAnsi="Times New Roman" w:eastAsia="Times New Roman" w:cs="Times New Roman"/>
          <w:sz w:val="20"/>
          <w:szCs w:val="20"/>
        </w:rPr>
        <w:t xml:space="preserve">.</w:t>
      </w:r>
    </w:p>
  </w:footnote>
  <w:footnote w:id="30">
    <w:p>
      <w:pPr>
        <w:jc w:val="left"/>
      </w:pPr>
      <w:r>
        <w:rPr>
          <w:rFonts w:ascii="Times New Roman" w:hAnsi="Times New Roman" w:eastAsia="Times New Roman" w:cs="Times New Roman"/>
          <w:sz w:val="20"/>
          <w:szCs w:val="20"/>
        </w:rPr>
        <w:t xml:space="preserve">Dimitri Gutas, “Ibn Sina [Avicenna],” </w:t>
      </w:r>
      <w:r>
        <w:rPr>
          <w:rFonts w:ascii="Times New Roman" w:hAnsi="Times New Roman" w:eastAsia="Times New Roman" w:cs="Times New Roman"/>
          <w:sz w:val="20"/>
          <w:szCs w:val="20"/>
          <w:i/>
          <w:iCs/>
        </w:rPr>
        <w:t xml:space="preserve">Stanford Encyclopedia of Philosophy</w:t>
      </w:r>
      <w:r>
        <w:rPr>
          <w:rFonts w:ascii="Times New Roman" w:hAnsi="Times New Roman" w:eastAsia="Times New Roman" w:cs="Times New Roman"/>
          <w:sz w:val="20"/>
          <w:szCs w:val="20"/>
        </w:rPr>
        <w:t xml:space="preserve">, last modified October 31, 2025, https://plato.stanford.edu/entries/ibn-sina/.</w:t>
      </w:r>
    </w:p>
  </w:footnote>
  <w:footnote w:id="31">
    <w:p>
      <w:pPr>
        <w:jc w:val="left"/>
      </w:pPr>
      <w:r>
        <w:rPr>
          <w:rFonts w:ascii="Times New Roman" w:hAnsi="Times New Roman" w:eastAsia="Times New Roman" w:cs="Times New Roman"/>
          <w:sz w:val="20"/>
          <w:szCs w:val="20"/>
        </w:rPr>
        <w:t xml:space="preserve">Zimmermann, </w:t>
      </w:r>
      <w:r>
        <w:rPr>
          <w:rFonts w:ascii="Times New Roman" w:hAnsi="Times New Roman" w:eastAsia="Times New Roman" w:cs="Times New Roman"/>
          <w:sz w:val="20"/>
          <w:szCs w:val="20"/>
          <w:i/>
          <w:iCs/>
        </w:rPr>
        <w:t xml:space="preserve">Al-Farabi’s Commentary</w:t>
      </w:r>
      <w:r>
        <w:rPr>
          <w:rFonts w:ascii="Times New Roman" w:hAnsi="Times New Roman" w:eastAsia="Times New Roman" w:cs="Times New Roman"/>
          <w:sz w:val="20"/>
          <w:szCs w:val="20"/>
        </w:rPr>
        <w:t xml:space="preserve">.</w:t>
      </w:r>
    </w:p>
  </w:footnote>
  <w:footnote w:id="32">
    <w:p>
      <w:pPr>
        <w:jc w:val="left"/>
      </w:pPr>
      <w:r>
        <w:rPr>
          <w:rFonts w:ascii="Times New Roman" w:hAnsi="Times New Roman" w:eastAsia="Times New Roman" w:cs="Times New Roman"/>
          <w:sz w:val="20"/>
          <w:szCs w:val="20"/>
        </w:rPr>
        <w:t xml:space="preserve">DiPasquale, </w:t>
      </w:r>
      <w:r>
        <w:rPr>
          <w:rFonts w:ascii="Times New Roman" w:hAnsi="Times New Roman" w:eastAsia="Times New Roman" w:cs="Times New Roman"/>
          <w:sz w:val="20"/>
          <w:szCs w:val="20"/>
          <w:i/>
          <w:iCs/>
        </w:rPr>
        <w:t xml:space="preserve">Alfarabi’s Book of Dialectic</w:t>
      </w:r>
      <w:r>
        <w:rPr>
          <w:rFonts w:ascii="Times New Roman" w:hAnsi="Times New Roman" w:eastAsia="Times New Roman" w:cs="Times New Roman"/>
          <w:sz w:val="20"/>
          <w:szCs w:val="20"/>
        </w:rPr>
        <w:t xml:space="preserve">.</w:t>
      </w:r>
    </w:p>
  </w:footnote>
  <w:footnote w:id="33">
    <w:p>
      <w:pPr>
        <w:jc w:val="left"/>
      </w:pPr>
      <w:r>
        <w:rPr>
          <w:rFonts w:ascii="Times New Roman" w:hAnsi="Times New Roman" w:eastAsia="Times New Roman" w:cs="Times New Roman"/>
          <w:sz w:val="20"/>
          <w:szCs w:val="20"/>
        </w:rPr>
        <w:t xml:space="preserve">Mahdi, </w:t>
      </w:r>
      <w:r>
        <w:rPr>
          <w:rFonts w:ascii="Times New Roman" w:hAnsi="Times New Roman" w:eastAsia="Times New Roman" w:cs="Times New Roman"/>
          <w:sz w:val="20"/>
          <w:szCs w:val="20"/>
          <w:i/>
          <w:iCs/>
        </w:rPr>
        <w:t xml:space="preserve">Alfarabi’s Philosophy of Plato and Aristotle</w:t>
      </w:r>
      <w:r>
        <w:rPr>
          <w:rFonts w:ascii="Times New Roman" w:hAnsi="Times New Roman" w:eastAsia="Times New Roman" w:cs="Times New Roman"/>
          <w:sz w:val="20"/>
          <w:szCs w:val="20"/>
        </w:rPr>
        <w:t xml:space="preserve">.</w:t>
      </w:r>
    </w:p>
  </w:footnote>
  <w:footnote w:id="34">
    <w:p>
      <w:pPr>
        <w:jc w:val="left"/>
      </w:pPr>
      <w:r>
        <w:rPr>
          <w:rFonts w:ascii="Times New Roman" w:hAnsi="Times New Roman" w:eastAsia="Times New Roman" w:cs="Times New Roman"/>
          <w:sz w:val="20"/>
          <w:szCs w:val="20"/>
        </w:rPr>
        <w:t xml:space="preserve">Hodges and Druart, “Al-Farabi’s Philosophy of Logic and Language.”, bag. 5.</w:t>
      </w:r>
    </w:p>
  </w:footnote>
  <w:footnote w:id="35">
    <w:p>
      <w:pPr>
        <w:jc w:val="left"/>
      </w:pPr>
      <w:r>
        <w:rPr>
          <w:rFonts w:ascii="Times New Roman" w:hAnsi="Times New Roman" w:eastAsia="Times New Roman" w:cs="Times New Roman"/>
          <w:sz w:val="20"/>
          <w:szCs w:val="20"/>
        </w:rPr>
        <w:t xml:space="preserve">Hodges and Druart, “Al-Farabi’s Philosophy of Logic and Language.”, bag. 7.</w:t>
      </w:r>
    </w:p>
  </w:footnote>
  <w:footnote w:id="36">
    <w:p>
      <w:pPr>
        <w:jc w:val="left"/>
      </w:pPr>
      <w:r>
        <w:rPr>
          <w:rFonts w:ascii="Times New Roman" w:hAnsi="Times New Roman" w:eastAsia="Times New Roman" w:cs="Times New Roman"/>
          <w:sz w:val="20"/>
          <w:szCs w:val="20"/>
        </w:rPr>
        <w:t xml:space="preserve">Robin Smith, “Aristotle’s Logic,” </w:t>
      </w:r>
      <w:r>
        <w:rPr>
          <w:rFonts w:ascii="Times New Roman" w:hAnsi="Times New Roman" w:eastAsia="Times New Roman" w:cs="Times New Roman"/>
          <w:sz w:val="20"/>
          <w:szCs w:val="20"/>
          <w:i/>
          <w:iCs/>
        </w:rPr>
        <w:t xml:space="preserve">Stanford Encyclopedia of Philosophy</w:t>
      </w:r>
      <w:r>
        <w:rPr>
          <w:rFonts w:ascii="Times New Roman" w:hAnsi="Times New Roman" w:eastAsia="Times New Roman" w:cs="Times New Roman"/>
          <w:sz w:val="20"/>
          <w:szCs w:val="20"/>
        </w:rPr>
        <w:t xml:space="preserve">, last modified November 22, 2022, https://plato.stanford.edu/entries/aristotle-logic/, bag. 3.</w:t>
      </w:r>
    </w:p>
  </w:footnote>
  <w:footnote w:id="37">
    <w:p>
      <w:pPr>
        <w:jc w:val="left"/>
      </w:pPr>
      <w:r>
        <w:rPr>
          <w:rFonts w:ascii="Times New Roman" w:hAnsi="Times New Roman" w:eastAsia="Times New Roman" w:cs="Times New Roman"/>
          <w:sz w:val="20"/>
          <w:szCs w:val="20"/>
        </w:rPr>
        <w:t xml:space="preserve">Hodges and Druart, “Al-Farabi’s Philosophy of Logic and Language.”, bag. 6.1.</w:t>
      </w:r>
    </w:p>
  </w:footnote>
  <w:footnote w:id="38">
    <w:p>
      <w:pPr>
        <w:jc w:val="left"/>
      </w:pPr>
      <w:r>
        <w:rPr>
          <w:rFonts w:ascii="Times New Roman" w:hAnsi="Times New Roman" w:eastAsia="Times New Roman" w:cs="Times New Roman"/>
          <w:sz w:val="20"/>
          <w:szCs w:val="20"/>
        </w:rPr>
        <w:t xml:space="preserve">Hodges and Druart, “Al-Farabi’s Philosophy of Logic and Language.”, Syllogism 27.6f, dikutip bag. 5.</w:t>
      </w:r>
    </w:p>
  </w:footnote>
  <w:footnote w:id="39">
    <w:p>
      <w:pPr>
        <w:jc w:val="left"/>
      </w:pPr>
      <w:r>
        <w:rPr>
          <w:rFonts w:ascii="Times New Roman" w:hAnsi="Times New Roman" w:eastAsia="Times New Roman" w:cs="Times New Roman"/>
          <w:sz w:val="20"/>
          <w:szCs w:val="20"/>
        </w:rPr>
        <w:t xml:space="preserve">Hodges and Druart, “Al-Farabi’s Philosophy of Logic and Language.”, bag. 6.2.</w:t>
      </w:r>
    </w:p>
  </w:footnote>
  <w:footnote w:id="40">
    <w:p>
      <w:pPr>
        <w:jc w:val="left"/>
      </w:pPr>
      <w:r>
        <w:rPr>
          <w:rFonts w:ascii="Times New Roman" w:hAnsi="Times New Roman" w:eastAsia="Times New Roman" w:cs="Times New Roman"/>
          <w:sz w:val="20"/>
          <w:szCs w:val="20"/>
        </w:rPr>
        <w:t xml:space="preserve">Hodges and Druart, “Al-Farabi’s Philosophy of Logic and Language.”, bag. 6.4.</w:t>
      </w:r>
    </w:p>
  </w:footnote>
  <w:footnote w:id="41">
    <w:p>
      <w:pPr>
        <w:jc w:val="left"/>
      </w:pPr>
      <w:r>
        <w:rPr>
          <w:rFonts w:ascii="Times New Roman" w:hAnsi="Times New Roman" w:eastAsia="Times New Roman" w:cs="Times New Roman"/>
          <w:sz w:val="20"/>
          <w:szCs w:val="20"/>
        </w:rPr>
        <w:t xml:space="preserve">Hodges and Druart, “Al-Farabi’s Philosophy of Logic and Language.”, bag. 6.1.</w:t>
      </w:r>
    </w:p>
  </w:footnote>
  <w:footnote w:id="42">
    <w:p>
      <w:pPr>
        <w:jc w:val="left"/>
      </w:pPr>
      <w:r>
        <w:rPr>
          <w:rFonts w:ascii="Times New Roman" w:hAnsi="Times New Roman" w:eastAsia="Times New Roman" w:cs="Times New Roman"/>
          <w:sz w:val="20"/>
          <w:szCs w:val="20"/>
        </w:rPr>
        <w:t xml:space="preserve">DiPasquale, </w:t>
      </w:r>
      <w:r>
        <w:rPr>
          <w:rFonts w:ascii="Times New Roman" w:hAnsi="Times New Roman" w:eastAsia="Times New Roman" w:cs="Times New Roman"/>
          <w:sz w:val="20"/>
          <w:szCs w:val="20"/>
          <w:i/>
          <w:iCs/>
        </w:rPr>
        <w:t xml:space="preserve">Alfarabi’s Book of Dialectic</w:t>
      </w:r>
      <w:r>
        <w:rPr>
          <w:rFonts w:ascii="Times New Roman" w:hAnsi="Times New Roman" w:eastAsia="Times New Roman" w:cs="Times New Roman"/>
          <w:sz w:val="20"/>
          <w:szCs w:val="20"/>
        </w:rPr>
        <w:t xml:space="preserve">.</w:t>
      </w:r>
    </w:p>
  </w:footnote>
  <w:footnote w:id="43">
    <w:p>
      <w:pPr>
        <w:jc w:val="left"/>
      </w:pPr>
      <w:r>
        <w:rPr>
          <w:rFonts w:ascii="Times New Roman" w:hAnsi="Times New Roman" w:eastAsia="Times New Roman" w:cs="Times New Roman"/>
          <w:sz w:val="20"/>
          <w:szCs w:val="20"/>
        </w:rPr>
        <w:t xml:space="preserve">Gutas, “Ibn Sina.”</w:t>
      </w:r>
    </w:p>
  </w:footnote>
  <w:footnote w:id="44">
    <w:p>
      <w:pPr>
        <w:jc w:val="left"/>
      </w:pPr>
      <w:r>
        <w:rPr>
          <w:rFonts w:ascii="Times New Roman" w:hAnsi="Times New Roman" w:eastAsia="Times New Roman" w:cs="Times New Roman"/>
          <w:sz w:val="20"/>
          <w:szCs w:val="20"/>
        </w:rPr>
        <w:t xml:space="preserve">Gutas, “Ibn Sina.”</w:t>
      </w:r>
    </w:p>
  </w:footnote>
  <w:footnote w:id="45">
    <w:p>
      <w:pPr>
        <w:jc w:val="left"/>
      </w:pPr>
      <w:r>
        <w:rPr>
          <w:rFonts w:ascii="Times New Roman" w:hAnsi="Times New Roman" w:eastAsia="Times New Roman" w:cs="Times New Roman"/>
          <w:sz w:val="20"/>
          <w:szCs w:val="20"/>
        </w:rPr>
        <w:t xml:space="preserve">Chatti, </w:t>
      </w:r>
      <w:r>
        <w:rPr>
          <w:rFonts w:ascii="Times New Roman" w:hAnsi="Times New Roman" w:eastAsia="Times New Roman" w:cs="Times New Roman"/>
          <w:sz w:val="20"/>
          <w:szCs w:val="20"/>
          <w:i/>
          <w:iCs/>
        </w:rPr>
        <w:t xml:space="preserve">Arabic Logic from al-Farabi to Averroes</w:t>
      </w:r>
      <w:r>
        <w:rPr>
          <w:rFonts w:ascii="Times New Roman" w:hAnsi="Times New Roman" w:eastAsia="Times New Roman" w:cs="Times New Roman"/>
          <w:sz w:val="20"/>
          <w:szCs w:val="20"/>
        </w:rPr>
        <w:t xml:space="preserve">.</w:t>
      </w:r>
    </w:p>
  </w:footnote>
  <w:footnote w:id="46">
    <w:p>
      <w:pPr>
        <w:jc w:val="left"/>
      </w:pPr>
      <w:r>
        <w:rPr>
          <w:rFonts w:ascii="Times New Roman" w:hAnsi="Times New Roman" w:eastAsia="Times New Roman" w:cs="Times New Roman"/>
          <w:sz w:val="20"/>
          <w:szCs w:val="20"/>
        </w:rPr>
        <w:t xml:space="preserve">Codd, “Relational Model.”, 381.</w:t>
      </w:r>
    </w:p>
  </w:footnote>
  <w:footnote w:id="47">
    <w:p>
      <w:pPr>
        <w:jc w:val="left"/>
      </w:pPr>
      <w:r>
        <w:rPr>
          <w:rFonts w:ascii="Times New Roman" w:hAnsi="Times New Roman" w:eastAsia="Times New Roman" w:cs="Times New Roman"/>
          <w:sz w:val="20"/>
          <w:szCs w:val="20"/>
        </w:rPr>
        <w:t xml:space="preserve">Codd, “Relational Model.”, 381.</w:t>
      </w:r>
    </w:p>
  </w:footnote>
  <w:footnote w:id="48">
    <w:p>
      <w:pPr>
        <w:jc w:val="left"/>
      </w:pPr>
      <w:r>
        <w:rPr>
          <w:rFonts w:ascii="Times New Roman" w:hAnsi="Times New Roman" w:eastAsia="Times New Roman" w:cs="Times New Roman"/>
          <w:sz w:val="20"/>
          <w:szCs w:val="20"/>
        </w:rPr>
        <w:t xml:space="preserve">Codd, “Relational Model.”, 381.</w:t>
      </w:r>
    </w:p>
  </w:footnote>
  <w:footnote w:id="49">
    <w:p>
      <w:pPr>
        <w:jc w:val="left"/>
      </w:pPr>
      <w:r>
        <w:rPr>
          <w:rFonts w:ascii="Times New Roman" w:hAnsi="Times New Roman" w:eastAsia="Times New Roman" w:cs="Times New Roman"/>
          <w:sz w:val="20"/>
          <w:szCs w:val="20"/>
        </w:rPr>
        <w:t xml:space="preserve">Manning, Raghavan, and Schütze, </w:t>
      </w:r>
      <w:r>
        <w:rPr>
          <w:rFonts w:ascii="Times New Roman" w:hAnsi="Times New Roman" w:eastAsia="Times New Roman" w:cs="Times New Roman"/>
          <w:sz w:val="20"/>
          <w:szCs w:val="20"/>
          <w:i/>
          <w:iCs/>
        </w:rPr>
        <w:t xml:space="preserve">Introduction to Information Retrieval</w:t>
      </w:r>
      <w:r>
        <w:rPr>
          <w:rFonts w:ascii="Times New Roman" w:hAnsi="Times New Roman" w:eastAsia="Times New Roman" w:cs="Times New Roman"/>
          <w:sz w:val="20"/>
          <w:szCs w:val="20"/>
        </w:rPr>
        <w:t xml:space="preserve">.</w:t>
      </w:r>
    </w:p>
  </w:footnote>
  <w:footnote w:id="50">
    <w:p>
      <w:pPr>
        <w:jc w:val="left"/>
      </w:pPr>
      <w:r>
        <w:rPr>
          <w:rFonts w:ascii="Times New Roman" w:hAnsi="Times New Roman" w:eastAsia="Times New Roman" w:cs="Times New Roman"/>
          <w:sz w:val="20"/>
          <w:szCs w:val="20"/>
        </w:rPr>
        <w:t xml:space="preserve">Adriaans, “Information.”</w:t>
      </w:r>
    </w:p>
  </w:footnote>
  <w:footnote w:id="51">
    <w:p>
      <w:pPr>
        <w:jc w:val="left"/>
      </w:pPr>
      <w:r>
        <w:rPr>
          <w:rFonts w:ascii="Times New Roman" w:hAnsi="Times New Roman" w:eastAsia="Times New Roman" w:cs="Times New Roman"/>
          <w:sz w:val="20"/>
          <w:szCs w:val="20"/>
        </w:rPr>
        <w:t xml:space="preserve">Codd, “Relational Model.”, 381.</w:t>
      </w:r>
    </w:p>
  </w:footnote>
  <w:footnote w:id="52">
    <w:p>
      <w:pPr>
        <w:jc w:val="left"/>
      </w:pPr>
      <w:r>
        <w:rPr>
          <w:rFonts w:ascii="Times New Roman" w:hAnsi="Times New Roman" w:eastAsia="Times New Roman" w:cs="Times New Roman"/>
          <w:sz w:val="20"/>
          <w:szCs w:val="20"/>
        </w:rPr>
        <w:t xml:space="preserve">Codd, “Relational Model.”, 381.</w:t>
      </w:r>
    </w:p>
  </w:footnote>
  <w:footnote w:id="53">
    <w:p>
      <w:pPr>
        <w:jc w:val="left"/>
      </w:pPr>
      <w:r>
        <w:rPr>
          <w:rFonts w:ascii="Times New Roman" w:hAnsi="Times New Roman" w:eastAsia="Times New Roman" w:cs="Times New Roman"/>
          <w:sz w:val="20"/>
          <w:szCs w:val="20"/>
        </w:rPr>
        <w:t xml:space="preserve">Manning, Raghavan, and Schütze, </w:t>
      </w:r>
      <w:r>
        <w:rPr>
          <w:rFonts w:ascii="Times New Roman" w:hAnsi="Times New Roman" w:eastAsia="Times New Roman" w:cs="Times New Roman"/>
          <w:sz w:val="20"/>
          <w:szCs w:val="20"/>
          <w:i/>
          <w:iCs/>
        </w:rPr>
        <w:t xml:space="preserve">Introduction to Information Retrieval</w:t>
      </w:r>
      <w:r>
        <w:rPr>
          <w:rFonts w:ascii="Times New Roman" w:hAnsi="Times New Roman" w:eastAsia="Times New Roman" w:cs="Times New Roman"/>
          <w:sz w:val="20"/>
          <w:szCs w:val="20"/>
        </w:rPr>
        <w:t xml:space="preserve">.</w:t>
      </w:r>
    </w:p>
  </w:footnote>
  <w:footnote w:id="54">
    <w:p>
      <w:pPr>
        <w:jc w:val="left"/>
      </w:pPr>
      <w:r>
        <w:rPr>
          <w:rFonts w:ascii="Times New Roman" w:hAnsi="Times New Roman" w:eastAsia="Times New Roman" w:cs="Times New Roman"/>
          <w:sz w:val="20"/>
          <w:szCs w:val="20"/>
        </w:rPr>
        <w:t xml:space="preserve">Adriaans, “Information.”</w:t>
      </w:r>
    </w:p>
  </w:footnote>
  <w:footnote w:id="55">
    <w:p>
      <w:pPr>
        <w:jc w:val="left"/>
      </w:pPr>
      <w:r>
        <w:rPr>
          <w:rFonts w:ascii="Times New Roman" w:hAnsi="Times New Roman" w:eastAsia="Times New Roman" w:cs="Times New Roman"/>
          <w:sz w:val="20"/>
          <w:szCs w:val="20"/>
        </w:rPr>
        <w:t xml:space="preserve">DiPasquale, </w:t>
      </w:r>
      <w:r>
        <w:rPr>
          <w:rFonts w:ascii="Times New Roman" w:hAnsi="Times New Roman" w:eastAsia="Times New Roman" w:cs="Times New Roman"/>
          <w:sz w:val="20"/>
          <w:szCs w:val="20"/>
          <w:i/>
          <w:iCs/>
        </w:rPr>
        <w:t xml:space="preserve">Alfarabi’s Book of Dialectic</w:t>
      </w:r>
      <w:r>
        <w:rPr>
          <w:rFonts w:ascii="Times New Roman" w:hAnsi="Times New Roman" w:eastAsia="Times New Roman" w:cs="Times New Roman"/>
          <w:sz w:val="20"/>
          <w:szCs w:val="20"/>
        </w:rPr>
        <w:t xml:space="preserve">.</w:t>
      </w:r>
    </w:p>
  </w:footnote>
  <w:footnote w:id="56">
    <w:p>
      <w:pPr>
        <w:jc w:val="left"/>
      </w:pPr>
      <w:r>
        <w:rPr>
          <w:rFonts w:ascii="Times New Roman" w:hAnsi="Times New Roman" w:eastAsia="Times New Roman" w:cs="Times New Roman"/>
          <w:sz w:val="20"/>
          <w:szCs w:val="20"/>
        </w:rPr>
        <w:t xml:space="preserve">Adriaans, “Information.”</w:t>
      </w:r>
    </w:p>
  </w:footnote>
  <w:footnote w:id="57">
    <w:p>
      <w:pPr>
        <w:jc w:val="left"/>
      </w:pPr>
      <w:r>
        <w:rPr>
          <w:rFonts w:ascii="Times New Roman" w:hAnsi="Times New Roman" w:eastAsia="Times New Roman" w:cs="Times New Roman"/>
          <w:sz w:val="20"/>
          <w:szCs w:val="20"/>
        </w:rPr>
        <w:t xml:space="preserve">Codd, “Relational Model.”, 381.</w:t>
      </w:r>
    </w:p>
  </w:footnote>
  <w:footnote w:id="58">
    <w:p>
      <w:pPr>
        <w:jc w:val="left"/>
      </w:pPr>
      <w:r>
        <w:rPr>
          <w:rFonts w:ascii="Times New Roman" w:hAnsi="Times New Roman" w:eastAsia="Times New Roman" w:cs="Times New Roman"/>
          <w:sz w:val="20"/>
          <w:szCs w:val="20"/>
        </w:rPr>
        <w:t xml:space="preserve">Hodges and Druart, “Al-Farabi’s Philosophy of Logic and Language.”</w:t>
      </w:r>
    </w:p>
  </w:footnote>
  <w:footnote w:id="59">
    <w:p>
      <w:pPr>
        <w:jc w:val="left"/>
      </w:pPr>
      <w:r>
        <w:rPr>
          <w:rFonts w:ascii="Times New Roman" w:hAnsi="Times New Roman" w:eastAsia="Times New Roman" w:cs="Times New Roman"/>
          <w:sz w:val="20"/>
          <w:szCs w:val="20"/>
        </w:rPr>
        <w:t xml:space="preserve">Black, </w:t>
      </w:r>
      <w:r>
        <w:rPr>
          <w:rFonts w:ascii="Times New Roman" w:hAnsi="Times New Roman" w:eastAsia="Times New Roman" w:cs="Times New Roman"/>
          <w:sz w:val="20"/>
          <w:szCs w:val="20"/>
          <w:i/>
          <w:iCs/>
        </w:rPr>
        <w:t xml:space="preserve">Logic and Aristotle’s Rhetoric and Poetics</w:t>
      </w:r>
      <w:r>
        <w:rPr>
          <w:rFonts w:ascii="Times New Roman" w:hAnsi="Times New Roman" w:eastAsia="Times New Roman" w:cs="Times New Roman"/>
          <w:sz w:val="20"/>
          <w:szCs w:val="20"/>
        </w:rPr>
        <w:t xml:space="preserve">.</w:t>
      </w:r>
    </w:p>
  </w:footnote>
  <w:footnote w:id="60">
    <w:p>
      <w:pPr>
        <w:jc w:val="left"/>
      </w:pPr>
      <w:r>
        <w:rPr>
          <w:rFonts w:ascii="Times New Roman" w:hAnsi="Times New Roman" w:eastAsia="Times New Roman" w:cs="Times New Roman"/>
          <w:sz w:val="20"/>
          <w:szCs w:val="20"/>
        </w:rPr>
        <w:t xml:space="preserve">Codd, “Relational Model.”, 381.</w:t>
      </w:r>
    </w:p>
  </w:footnote>
  <w:footnote w:id="61">
    <w:p>
      <w:pPr>
        <w:jc w:val="left"/>
      </w:pPr>
      <w:r>
        <w:rPr>
          <w:rFonts w:ascii="Times New Roman" w:hAnsi="Times New Roman" w:eastAsia="Times New Roman" w:cs="Times New Roman"/>
          <w:sz w:val="20"/>
          <w:szCs w:val="20"/>
        </w:rPr>
        <w:t xml:space="preserve">Adriaans, “Information.”</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jc w:val="both"/>
    </w:pPr>
    <w:rPr>
      <w:rFonts w:ascii="Times New Roman" w:hAnsi="Times New Roman" w:eastAsia="Times New Roman"/>
      <w:sz w:val="24"/>
      <w:lang w:val="id-ID" w:eastAsia="id-ID"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